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AE9C" w14:textId="425C076C" w:rsidR="00A60EF6" w:rsidRDefault="002E1B35" w:rsidP="002E1B35">
      <w:pPr>
        <w:pStyle w:val="Titre1"/>
        <w:rPr>
          <w:lang w:val="fr-FR"/>
        </w:rPr>
      </w:pPr>
      <w:r>
        <w:rPr>
          <w:lang w:val="fr-FR"/>
        </w:rPr>
        <w:t>Recommandations complém</w:t>
      </w:r>
      <w:bookmarkStart w:id="0" w:name="_GoBack"/>
      <w:bookmarkEnd w:id="0"/>
      <w:r>
        <w:rPr>
          <w:lang w:val="fr-FR"/>
        </w:rPr>
        <w:t>entaires produites par les parties prenantes du Bloc-1</w:t>
      </w:r>
    </w:p>
    <w:p w14:paraId="0969C28D" w14:textId="5113059B" w:rsidR="002E1B35" w:rsidRPr="002E1B35" w:rsidRDefault="002E1B35" w:rsidP="002E1B35">
      <w:r>
        <w:t>(</w:t>
      </w:r>
      <w:proofErr w:type="gramStart"/>
      <w:r>
        <w:t>classées</w:t>
      </w:r>
      <w:proofErr w:type="gramEnd"/>
      <w:r>
        <w:t xml:space="preserve"> par thématiques, même pouvant être classées par destinataires ou par urgence)</w:t>
      </w:r>
    </w:p>
    <w:p w14:paraId="09B1A155" w14:textId="77777777" w:rsidR="002E1B35" w:rsidRDefault="002E1B35">
      <w:pPr>
        <w:rPr>
          <w:lang w:val="fr-FR"/>
        </w:rPr>
      </w:pPr>
    </w:p>
    <w:tbl>
      <w:tblPr>
        <w:tblStyle w:val="Grilledutableau"/>
        <w:tblW w:w="5364" w:type="pct"/>
        <w:tblLayout w:type="fixed"/>
        <w:tblLook w:val="04A0" w:firstRow="1" w:lastRow="0" w:firstColumn="1" w:lastColumn="0" w:noHBand="0" w:noVBand="1"/>
      </w:tblPr>
      <w:tblGrid>
        <w:gridCol w:w="2011"/>
        <w:gridCol w:w="2597"/>
        <w:gridCol w:w="1419"/>
        <w:gridCol w:w="9230"/>
      </w:tblGrid>
      <w:tr w:rsidR="002E1B35" w:rsidRPr="00B03885" w14:paraId="47EF1B16" w14:textId="77777777" w:rsidTr="009750AA">
        <w:tc>
          <w:tcPr>
            <w:tcW w:w="659" w:type="pct"/>
          </w:tcPr>
          <w:p w14:paraId="1E1EE365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 w:rsidRPr="00B03885">
              <w:rPr>
                <w:b/>
                <w:lang w:val="fr-FR"/>
              </w:rPr>
              <w:t>Thématique ?</w:t>
            </w:r>
          </w:p>
          <w:p w14:paraId="2206599B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 w:rsidRPr="00B03885">
              <w:rPr>
                <w:b/>
                <w:lang w:val="fr-FR"/>
              </w:rPr>
              <w:t>(Sécurité, AP, Transhumance)</w:t>
            </w:r>
          </w:p>
        </w:tc>
        <w:tc>
          <w:tcPr>
            <w:tcW w:w="851" w:type="pct"/>
          </w:tcPr>
          <w:p w14:paraId="68A866D3" w14:textId="02AB88F4" w:rsidR="002E1B35" w:rsidRPr="00F7289B" w:rsidRDefault="002E1B35" w:rsidP="006262BD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A</w:t>
            </w:r>
            <w:r w:rsidRPr="00F7289B">
              <w:rPr>
                <w:b/>
                <w:i/>
                <w:lang w:val="fr-FR"/>
              </w:rPr>
              <w:t>dressé à qui ?</w:t>
            </w:r>
          </w:p>
        </w:tc>
        <w:tc>
          <w:tcPr>
            <w:tcW w:w="465" w:type="pct"/>
          </w:tcPr>
          <w:p w14:paraId="1F7D8C7D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CT = 2019</w:t>
            </w:r>
          </w:p>
          <w:p w14:paraId="2E83571A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 w:rsidRPr="00B03885">
              <w:rPr>
                <w:rFonts w:hint="eastAsia"/>
                <w:b/>
                <w:lang w:val="fr-FR"/>
              </w:rPr>
              <w:t>M</w:t>
            </w:r>
            <w:r>
              <w:rPr>
                <w:b/>
                <w:lang w:val="fr-FR"/>
              </w:rPr>
              <w:t>T</w:t>
            </w:r>
            <w:r w:rsidRPr="00B03885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&lt; 2020</w:t>
            </w:r>
          </w:p>
          <w:p w14:paraId="7FB1430E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LT</w:t>
            </w:r>
            <w:r w:rsidRPr="00B03885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&lt;2020</w:t>
            </w:r>
          </w:p>
        </w:tc>
        <w:tc>
          <w:tcPr>
            <w:tcW w:w="3025" w:type="pct"/>
          </w:tcPr>
          <w:p w14:paraId="4E665C48" w14:textId="77777777" w:rsidR="002E1B35" w:rsidRPr="00B03885" w:rsidRDefault="002E1B35" w:rsidP="006262BD">
            <w:pPr>
              <w:jc w:val="center"/>
              <w:rPr>
                <w:b/>
                <w:lang w:val="fr-FR"/>
              </w:rPr>
            </w:pPr>
            <w:r w:rsidRPr="00B03885">
              <w:rPr>
                <w:b/>
                <w:lang w:val="fr-FR"/>
              </w:rPr>
              <w:t>Texte de la recommandation</w:t>
            </w:r>
          </w:p>
        </w:tc>
      </w:tr>
      <w:tr w:rsidR="00CE007E" w14:paraId="1CAAAA05" w14:textId="77777777" w:rsidTr="009750AA">
        <w:tc>
          <w:tcPr>
            <w:tcW w:w="659" w:type="pct"/>
            <w:vMerge w:val="restart"/>
          </w:tcPr>
          <w:p w14:paraId="656CFA11" w14:textId="77777777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  <w:p w14:paraId="20C25D42" w14:textId="77777777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  <w:p w14:paraId="527C9F52" w14:textId="5B8062D9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  <w:vMerge w:val="restart"/>
          </w:tcPr>
          <w:p w14:paraId="225C05B7" w14:textId="77777777" w:rsidR="00CE007E" w:rsidRPr="00F7289B" w:rsidRDefault="00CE007E" w:rsidP="0074645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Environnement/Forêts</w:t>
            </w:r>
          </w:p>
          <w:p w14:paraId="3F5402DE" w14:textId="77777777" w:rsidR="00CE007E" w:rsidRPr="00F7289B" w:rsidRDefault="00CE007E" w:rsidP="0074645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des Affaires Etrangères</w:t>
            </w:r>
          </w:p>
          <w:p w14:paraId="11F8E894" w14:textId="14FEC545" w:rsidR="00CE007E" w:rsidRPr="00F7289B" w:rsidRDefault="00CE007E" w:rsidP="0074645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des Affaires Etrangères</w:t>
            </w:r>
          </w:p>
        </w:tc>
        <w:tc>
          <w:tcPr>
            <w:tcW w:w="465" w:type="pct"/>
          </w:tcPr>
          <w:p w14:paraId="14FF3CCD" w14:textId="0923BF49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1ECC3F72" w14:textId="738A3BA0" w:rsidR="00CE007E" w:rsidRPr="009E2FCC" w:rsidRDefault="00CE007E" w:rsidP="00746455">
            <w:pPr>
              <w:rPr>
                <w:lang w:val="fr-FR"/>
              </w:rPr>
            </w:pPr>
            <w:r w:rsidRPr="009E2FCC">
              <w:rPr>
                <w:lang w:val="fr-FR"/>
              </w:rPr>
              <w:t>Demande à la COMIFAC d’organiser une réunion politique de Haut Niveau pour examiner le « Guide sous régional de bonnes pratiques pour la gestion des AP en mode PPP ».</w:t>
            </w:r>
          </w:p>
        </w:tc>
      </w:tr>
      <w:tr w:rsidR="00CE007E" w14:paraId="79B7C5B5" w14:textId="77777777" w:rsidTr="009750AA">
        <w:tc>
          <w:tcPr>
            <w:tcW w:w="659" w:type="pct"/>
            <w:vMerge/>
          </w:tcPr>
          <w:p w14:paraId="507B0D36" w14:textId="08133F38" w:rsidR="00CE007E" w:rsidRDefault="00CE007E" w:rsidP="00746455">
            <w:pPr>
              <w:rPr>
                <w:lang w:val="fr-FR"/>
              </w:rPr>
            </w:pPr>
          </w:p>
        </w:tc>
        <w:tc>
          <w:tcPr>
            <w:tcW w:w="851" w:type="pct"/>
            <w:vMerge/>
          </w:tcPr>
          <w:p w14:paraId="1BB6BB64" w14:textId="00A70449" w:rsidR="00CE007E" w:rsidRPr="00F7289B" w:rsidRDefault="00CE007E" w:rsidP="00746455">
            <w:pPr>
              <w:rPr>
                <w:i/>
                <w:lang w:val="fr-FR"/>
              </w:rPr>
            </w:pPr>
          </w:p>
        </w:tc>
        <w:tc>
          <w:tcPr>
            <w:tcW w:w="465" w:type="pct"/>
            <w:vMerge w:val="restart"/>
          </w:tcPr>
          <w:p w14:paraId="3492E19C" w14:textId="77777777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  <w:p w14:paraId="0DD72431" w14:textId="77777777" w:rsidR="00CE007E" w:rsidRDefault="00CE007E" w:rsidP="00746455">
            <w:pPr>
              <w:rPr>
                <w:lang w:val="fr-FR"/>
              </w:rPr>
            </w:pPr>
          </w:p>
          <w:p w14:paraId="11941E3B" w14:textId="77777777" w:rsidR="00CE007E" w:rsidRDefault="00CE007E" w:rsidP="00746455">
            <w:pPr>
              <w:rPr>
                <w:lang w:val="fr-FR"/>
              </w:rPr>
            </w:pPr>
          </w:p>
          <w:p w14:paraId="7A587A46" w14:textId="77777777" w:rsidR="00CE007E" w:rsidRDefault="00CE007E" w:rsidP="00746455">
            <w:pPr>
              <w:rPr>
                <w:lang w:val="fr-FR"/>
              </w:rPr>
            </w:pPr>
          </w:p>
          <w:p w14:paraId="4C3FBEF3" w14:textId="01E5FCAF" w:rsidR="00CE007E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</w:tc>
        <w:tc>
          <w:tcPr>
            <w:tcW w:w="3025" w:type="pct"/>
          </w:tcPr>
          <w:p w14:paraId="448D3F07" w14:textId="2F57BC27" w:rsidR="00CE007E" w:rsidRPr="009E2FCC" w:rsidRDefault="00CE007E" w:rsidP="009E2FCC">
            <w:pPr>
              <w:rPr>
                <w:lang w:val="fr-FR"/>
              </w:rPr>
            </w:pPr>
            <w:r w:rsidRPr="009E2FCC">
              <w:rPr>
                <w:lang w:val="fr-FR"/>
              </w:rPr>
              <w:t xml:space="preserve">Demande à </w:t>
            </w:r>
            <w:r>
              <w:rPr>
                <w:lang w:val="fr-FR"/>
              </w:rPr>
              <w:t>l’UNESCO de faciliter la mise en place et le fonctionnement d’un cadre de concertation sur la transhumance qui permettrait d’analyser les questions fondamentales liés à la transhumance transfrontalière et de développer les solutions idoines ;</w:t>
            </w:r>
          </w:p>
        </w:tc>
      </w:tr>
      <w:tr w:rsidR="00CE007E" w14:paraId="371ABE64" w14:textId="77777777" w:rsidTr="009750AA">
        <w:tc>
          <w:tcPr>
            <w:tcW w:w="659" w:type="pct"/>
            <w:vMerge/>
          </w:tcPr>
          <w:p w14:paraId="7853579F" w14:textId="6FC86A05" w:rsidR="00CE007E" w:rsidRDefault="00CE007E" w:rsidP="00746455">
            <w:pPr>
              <w:rPr>
                <w:lang w:val="fr-FR"/>
              </w:rPr>
            </w:pPr>
          </w:p>
        </w:tc>
        <w:tc>
          <w:tcPr>
            <w:tcW w:w="851" w:type="pct"/>
            <w:vMerge/>
          </w:tcPr>
          <w:p w14:paraId="30557961" w14:textId="2F50D015" w:rsidR="00CE007E" w:rsidRPr="00F7289B" w:rsidRDefault="00CE007E" w:rsidP="00746455">
            <w:pPr>
              <w:rPr>
                <w:i/>
                <w:lang w:val="fr-FR"/>
              </w:rPr>
            </w:pPr>
          </w:p>
        </w:tc>
        <w:tc>
          <w:tcPr>
            <w:tcW w:w="465" w:type="pct"/>
            <w:vMerge/>
          </w:tcPr>
          <w:p w14:paraId="5A1E5993" w14:textId="484906B3" w:rsidR="00CE007E" w:rsidRDefault="00CE007E" w:rsidP="00746455">
            <w:pPr>
              <w:rPr>
                <w:lang w:val="fr-FR"/>
              </w:rPr>
            </w:pPr>
          </w:p>
        </w:tc>
        <w:tc>
          <w:tcPr>
            <w:tcW w:w="3025" w:type="pct"/>
          </w:tcPr>
          <w:p w14:paraId="595F465A" w14:textId="5158EE44" w:rsidR="00CE007E" w:rsidRPr="009E2FCC" w:rsidRDefault="00CE007E" w:rsidP="00AF785F">
            <w:pPr>
              <w:rPr>
                <w:lang w:val="fr-FR"/>
              </w:rPr>
            </w:pPr>
            <w:r>
              <w:rPr>
                <w:lang w:val="fr-FR"/>
              </w:rPr>
              <w:t>Demande à la</w:t>
            </w:r>
            <w:r w:rsidRPr="009E2FCC">
              <w:rPr>
                <w:lang w:val="fr-FR"/>
              </w:rPr>
              <w:t xml:space="preserve"> COMIFAC et à la CEBEVIRAH d’organiser une réunion conjointe consacrée à la réduction de l’antagonisme entre la transhumance et les AP</w:t>
            </w:r>
          </w:p>
        </w:tc>
      </w:tr>
      <w:tr w:rsidR="00CE007E" w14:paraId="1CA6BFE4" w14:textId="77777777" w:rsidTr="009750AA">
        <w:tc>
          <w:tcPr>
            <w:tcW w:w="659" w:type="pct"/>
            <w:vMerge/>
          </w:tcPr>
          <w:p w14:paraId="576AB51E" w14:textId="2C2863A4" w:rsidR="00CE007E" w:rsidRDefault="00CE007E" w:rsidP="00746455">
            <w:pPr>
              <w:rPr>
                <w:lang w:val="fr-FR"/>
              </w:rPr>
            </w:pPr>
          </w:p>
        </w:tc>
        <w:tc>
          <w:tcPr>
            <w:tcW w:w="851" w:type="pct"/>
            <w:vMerge/>
          </w:tcPr>
          <w:p w14:paraId="33B329D9" w14:textId="29374034" w:rsidR="00CE007E" w:rsidRPr="00F7289B" w:rsidRDefault="00CE007E" w:rsidP="00746455">
            <w:pPr>
              <w:rPr>
                <w:i/>
                <w:lang w:val="fr-FR"/>
              </w:rPr>
            </w:pPr>
          </w:p>
        </w:tc>
        <w:tc>
          <w:tcPr>
            <w:tcW w:w="465" w:type="pct"/>
            <w:vMerge/>
          </w:tcPr>
          <w:p w14:paraId="7B593D86" w14:textId="4A1A801C" w:rsidR="00CE007E" w:rsidRDefault="00CE007E" w:rsidP="00746455">
            <w:pPr>
              <w:rPr>
                <w:lang w:val="fr-FR"/>
              </w:rPr>
            </w:pPr>
          </w:p>
        </w:tc>
        <w:tc>
          <w:tcPr>
            <w:tcW w:w="3025" w:type="pct"/>
          </w:tcPr>
          <w:p w14:paraId="299A39C3" w14:textId="6A6E815D" w:rsidR="00CE007E" w:rsidRPr="009E2FCC" w:rsidRDefault="00CE007E" w:rsidP="00746455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Pr="009E2FCC">
              <w:rPr>
                <w:lang w:val="fr-FR"/>
              </w:rPr>
              <w:t xml:space="preserve"> à la COMIFAC d</w:t>
            </w:r>
            <w:r w:rsidRPr="009E2FCC">
              <w:rPr>
                <w:rFonts w:hint="eastAsia"/>
                <w:lang w:val="fr-FR"/>
              </w:rPr>
              <w:t>’</w:t>
            </w:r>
            <w:r w:rsidRPr="009E2FCC">
              <w:rPr>
                <w:lang w:val="fr-FR"/>
              </w:rPr>
              <w:t>organiser une réunion des autorités en charge des AP (y inclus les Conservateurs, assistées de leurs PTF) sur la compréhension et l</w:t>
            </w:r>
            <w:r w:rsidRPr="009E2FCC">
              <w:rPr>
                <w:rFonts w:hint="eastAsia"/>
                <w:lang w:val="fr-FR"/>
              </w:rPr>
              <w:t xml:space="preserve">a contribution à la mise en </w:t>
            </w:r>
            <w:r w:rsidRPr="009E2FCC">
              <w:rPr>
                <w:lang w:val="fr-FR"/>
              </w:rPr>
              <w:t>œuvre</w:t>
            </w:r>
            <w:r w:rsidRPr="009E2FCC">
              <w:rPr>
                <w:rFonts w:hint="eastAsia"/>
                <w:lang w:val="fr-FR"/>
              </w:rPr>
              <w:t xml:space="preserve"> </w:t>
            </w:r>
            <w:r w:rsidRPr="009E2FCC">
              <w:rPr>
                <w:lang w:val="fr-FR"/>
              </w:rPr>
              <w:t>de la « Convention pour le contrôle des armes légères et de petit calibre » dans le cadre de la LAB transfrontalière</w:t>
            </w:r>
          </w:p>
        </w:tc>
      </w:tr>
      <w:tr w:rsidR="00645620" w:rsidRPr="009A42AF" w14:paraId="7EDDB63B" w14:textId="77777777" w:rsidTr="009750AA">
        <w:tc>
          <w:tcPr>
            <w:tcW w:w="659" w:type="pct"/>
          </w:tcPr>
          <w:p w14:paraId="3AEEE82B" w14:textId="77777777" w:rsidR="00645620" w:rsidRPr="00136E1F" w:rsidRDefault="00645620" w:rsidP="0074645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</w:tcPr>
          <w:p w14:paraId="7A4D96E7" w14:textId="4F79FE19" w:rsidR="00645620" w:rsidRPr="00F7289B" w:rsidRDefault="00645620" w:rsidP="0074645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 xml:space="preserve">Ministres </w:t>
            </w:r>
            <w:r w:rsidR="00FE02B4" w:rsidRPr="00F7289B">
              <w:rPr>
                <w:i/>
                <w:lang w:val="fr-FR"/>
              </w:rPr>
              <w:t>(en charge de l</w:t>
            </w:r>
            <w:r w:rsidR="00FE02B4" w:rsidRPr="00F7289B">
              <w:rPr>
                <w:rFonts w:hint="eastAsia"/>
                <w:i/>
                <w:lang w:val="fr-FR"/>
              </w:rPr>
              <w:t>’</w:t>
            </w:r>
            <w:r w:rsidR="00FE02B4" w:rsidRPr="00F7289B">
              <w:rPr>
                <w:i/>
                <w:lang w:val="fr-FR"/>
              </w:rPr>
              <w:t>élevage ?)</w:t>
            </w:r>
          </w:p>
        </w:tc>
        <w:tc>
          <w:tcPr>
            <w:tcW w:w="465" w:type="pct"/>
          </w:tcPr>
          <w:p w14:paraId="0DA32198" w14:textId="77777777" w:rsidR="00645620" w:rsidRPr="00127E05" w:rsidRDefault="00645620" w:rsidP="0074645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</w:tc>
        <w:tc>
          <w:tcPr>
            <w:tcW w:w="3025" w:type="pct"/>
          </w:tcPr>
          <w:p w14:paraId="464C797E" w14:textId="58C09438" w:rsidR="00645620" w:rsidRPr="009E2FCC" w:rsidRDefault="00CE007E" w:rsidP="00FE02B4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645620" w:rsidRPr="009E2FCC">
              <w:rPr>
                <w:lang w:val="fr-FR"/>
              </w:rPr>
              <w:t xml:space="preserve"> aux autorités nationales chargées de la C</w:t>
            </w:r>
            <w:r w:rsidR="00FE02B4" w:rsidRPr="009E2FCC">
              <w:rPr>
                <w:lang w:val="fr-FR"/>
              </w:rPr>
              <w:t>BLT (assistées de leurs PTF) d</w:t>
            </w:r>
            <w:r w:rsidR="00FE02B4" w:rsidRPr="009E2FCC">
              <w:rPr>
                <w:rFonts w:hint="eastAsia"/>
                <w:lang w:val="fr-FR"/>
              </w:rPr>
              <w:t>’</w:t>
            </w:r>
            <w:r w:rsidR="00FE02B4" w:rsidRPr="009E2FCC">
              <w:rPr>
                <w:lang w:val="fr-FR"/>
              </w:rPr>
              <w:t>inclure dans la CBLT les éléments nécessaires pour une bonne prise en compte des aires protégées</w:t>
            </w:r>
            <w:r w:rsidR="00821E75" w:rsidRPr="009E2FCC">
              <w:rPr>
                <w:lang w:val="fr-FR"/>
              </w:rPr>
              <w:t xml:space="preserve"> et la restauration des écosystèmes autour du Lac Tchad</w:t>
            </w:r>
          </w:p>
        </w:tc>
      </w:tr>
      <w:tr w:rsidR="00821E75" w:rsidRPr="009A42AF" w14:paraId="77BC9C9C" w14:textId="77777777" w:rsidTr="009750AA">
        <w:tc>
          <w:tcPr>
            <w:tcW w:w="659" w:type="pct"/>
          </w:tcPr>
          <w:p w14:paraId="3B63E409" w14:textId="150089EF" w:rsidR="00821E75" w:rsidRDefault="00821E75" w:rsidP="00821E7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</w:tcPr>
          <w:p w14:paraId="02300397" w14:textId="50B85583" w:rsidR="00821E75" w:rsidRPr="00F7289B" w:rsidRDefault="00821E75" w:rsidP="00821E7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(en charge de l</w:t>
            </w:r>
            <w:r w:rsidRPr="00F7289B">
              <w:rPr>
                <w:rFonts w:hint="eastAsia"/>
                <w:i/>
                <w:lang w:val="fr-FR"/>
              </w:rPr>
              <w:t>’</w:t>
            </w:r>
            <w:r w:rsidRPr="00F7289B">
              <w:rPr>
                <w:i/>
                <w:lang w:val="fr-FR"/>
              </w:rPr>
              <w:t>élevage ?)</w:t>
            </w:r>
          </w:p>
        </w:tc>
        <w:tc>
          <w:tcPr>
            <w:tcW w:w="465" w:type="pct"/>
          </w:tcPr>
          <w:p w14:paraId="070674ED" w14:textId="108D72BF" w:rsidR="00821E75" w:rsidRDefault="00821E75" w:rsidP="00821E7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</w:tc>
        <w:tc>
          <w:tcPr>
            <w:tcW w:w="3025" w:type="pct"/>
          </w:tcPr>
          <w:p w14:paraId="1DC05D00" w14:textId="42330ACD" w:rsidR="00821E75" w:rsidRPr="009E2FCC" w:rsidRDefault="00CE007E" w:rsidP="00CE007E">
            <w:pPr>
              <w:rPr>
                <w:lang w:val="fr-FR"/>
              </w:rPr>
            </w:pPr>
            <w:r>
              <w:rPr>
                <w:lang w:val="fr-FR"/>
              </w:rPr>
              <w:t xml:space="preserve">Reconnait la nécessité des points d’eaux et du fourrage pour l’élevage du bétail et demande à la CBLT, CEEAC et </w:t>
            </w:r>
            <w:r w:rsidR="00821E75" w:rsidRPr="009E2FCC">
              <w:rPr>
                <w:lang w:val="fr-FR"/>
              </w:rPr>
              <w:t xml:space="preserve">COMIFAC, avec l’appui de leurs partenaires stratégiques et des mécanismes appuyant l’adaptation aux changements climatiques de </w:t>
            </w:r>
            <w:r w:rsidR="00C92D61" w:rsidRPr="009E2FCC">
              <w:rPr>
                <w:lang w:val="fr-FR"/>
              </w:rPr>
              <w:t xml:space="preserve"> prendre les mesures possible</w:t>
            </w:r>
            <w:r>
              <w:rPr>
                <w:lang w:val="fr-FR"/>
              </w:rPr>
              <w:t>s</w:t>
            </w:r>
            <w:r w:rsidR="00C92D61" w:rsidRPr="009E2FCC">
              <w:rPr>
                <w:lang w:val="fr-FR"/>
              </w:rPr>
              <w:t xml:space="preserve"> </w:t>
            </w:r>
            <w:r w:rsidR="00821E75" w:rsidRPr="009E2FCC">
              <w:rPr>
                <w:lang w:val="fr-FR"/>
              </w:rPr>
              <w:t xml:space="preserve"> pour irriguer la zone du Bassin du Lac Tchad et de restaurer la fonctionnalité des écosystèmes</w:t>
            </w:r>
          </w:p>
        </w:tc>
      </w:tr>
      <w:tr w:rsidR="00821E75" w14:paraId="3F43AC8A" w14:textId="77777777" w:rsidTr="009750AA">
        <w:tc>
          <w:tcPr>
            <w:tcW w:w="659" w:type="pct"/>
          </w:tcPr>
          <w:p w14:paraId="1AA4DF03" w14:textId="77777777" w:rsidR="00821E75" w:rsidRDefault="00821E75" w:rsidP="00821E75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</w:tcPr>
          <w:p w14:paraId="420C2705" w14:textId="77777777" w:rsidR="00821E75" w:rsidRPr="00F7289B" w:rsidRDefault="00821E75" w:rsidP="00821E7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(en charge de l</w:t>
            </w:r>
            <w:r w:rsidRPr="00F7289B">
              <w:rPr>
                <w:rFonts w:hint="eastAsia"/>
                <w:i/>
                <w:lang w:val="fr-FR"/>
              </w:rPr>
              <w:t>’</w:t>
            </w:r>
            <w:r w:rsidRPr="00F7289B">
              <w:rPr>
                <w:i/>
                <w:lang w:val="fr-FR"/>
              </w:rPr>
              <w:t>élevage ?)</w:t>
            </w:r>
          </w:p>
        </w:tc>
        <w:tc>
          <w:tcPr>
            <w:tcW w:w="465" w:type="pct"/>
          </w:tcPr>
          <w:p w14:paraId="6741B5BE" w14:textId="77777777" w:rsidR="00821E75" w:rsidRDefault="00821E75" w:rsidP="00821E7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</w:tc>
        <w:tc>
          <w:tcPr>
            <w:tcW w:w="3025" w:type="pct"/>
          </w:tcPr>
          <w:p w14:paraId="5EE62C70" w14:textId="5644CCB5" w:rsidR="00821E75" w:rsidRPr="009E2FCC" w:rsidRDefault="00821E75" w:rsidP="00821E75">
            <w:pPr>
              <w:rPr>
                <w:lang w:val="fr-FR"/>
              </w:rPr>
            </w:pPr>
            <w:r w:rsidRPr="009E2FCC">
              <w:rPr>
                <w:lang w:val="fr-FR"/>
              </w:rPr>
              <w:t>Inclure dans la Déclaration de N</w:t>
            </w:r>
            <w:r w:rsidR="00CE007E">
              <w:rPr>
                <w:lang w:val="fr-FR"/>
              </w:rPr>
              <w:t>’</w:t>
            </w:r>
            <w:r w:rsidRPr="009E2FCC">
              <w:rPr>
                <w:lang w:val="fr-FR"/>
              </w:rPr>
              <w:t xml:space="preserve">Djamena de 2013 sur le pastoralisme les éléments nécessaires pour une bonne prise en compte des </w:t>
            </w:r>
            <w:r w:rsidR="007840A2">
              <w:rPr>
                <w:lang w:val="fr-FR"/>
              </w:rPr>
              <w:t xml:space="preserve">problématiques liés à la conservation de la biodiversité dans les </w:t>
            </w:r>
            <w:r w:rsidRPr="009E2FCC">
              <w:rPr>
                <w:lang w:val="fr-FR"/>
              </w:rPr>
              <w:t>aires protégées</w:t>
            </w:r>
          </w:p>
        </w:tc>
      </w:tr>
      <w:tr w:rsidR="00821E75" w14:paraId="00D5BB7E" w14:textId="77777777" w:rsidTr="009750AA">
        <w:tc>
          <w:tcPr>
            <w:tcW w:w="659" w:type="pct"/>
          </w:tcPr>
          <w:p w14:paraId="223EFA88" w14:textId="77777777" w:rsidR="00821E75" w:rsidRDefault="00821E75" w:rsidP="00821E75">
            <w:r>
              <w:rPr>
                <w:lang w:val="fr-FR"/>
              </w:rPr>
              <w:lastRenderedPageBreak/>
              <w:t>Diplomatie</w:t>
            </w:r>
          </w:p>
        </w:tc>
        <w:tc>
          <w:tcPr>
            <w:tcW w:w="851" w:type="pct"/>
          </w:tcPr>
          <w:p w14:paraId="651E096C" w14:textId="77777777" w:rsidR="00821E75" w:rsidRPr="00F7289B" w:rsidRDefault="00821E75" w:rsidP="00821E7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Environnement/Forêts</w:t>
            </w:r>
          </w:p>
        </w:tc>
        <w:tc>
          <w:tcPr>
            <w:tcW w:w="465" w:type="pct"/>
          </w:tcPr>
          <w:p w14:paraId="4C5C6227" w14:textId="77777777" w:rsidR="00821E75" w:rsidRPr="00127E05" w:rsidRDefault="00821E75" w:rsidP="00821E75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0F2E5DEB" w14:textId="7E1BDEDF" w:rsidR="00821E75" w:rsidRPr="009E2FCC" w:rsidRDefault="006B06B6" w:rsidP="00821E75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821E75" w:rsidRPr="009E2FCC">
              <w:rPr>
                <w:lang w:val="fr-FR"/>
              </w:rPr>
              <w:t xml:space="preserve"> à la COMIFAC d</w:t>
            </w:r>
            <w:r>
              <w:rPr>
                <w:lang w:val="fr-FR"/>
              </w:rPr>
              <w:t>’</w:t>
            </w:r>
            <w:r w:rsidR="00821E75" w:rsidRPr="009E2FCC">
              <w:rPr>
                <w:lang w:val="fr-FR"/>
              </w:rPr>
              <w:t>établir un groupe de travail technique pour comparer les législations et réglementations de droit positif et coutumier relatifs à la transhumance, en lien avec les enjeux environnementaux</w:t>
            </w:r>
            <w:r w:rsidR="009750AA">
              <w:rPr>
                <w:lang w:val="fr-FR"/>
              </w:rPr>
              <w:t> ;</w:t>
            </w:r>
          </w:p>
        </w:tc>
      </w:tr>
      <w:tr w:rsidR="009750AA" w14:paraId="61BBF792" w14:textId="77777777" w:rsidTr="009750AA">
        <w:tc>
          <w:tcPr>
            <w:tcW w:w="659" w:type="pct"/>
            <w:vMerge w:val="restart"/>
          </w:tcPr>
          <w:p w14:paraId="22869051" w14:textId="77777777" w:rsidR="009750AA" w:rsidRDefault="009750AA" w:rsidP="00821E75"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  <w:vMerge w:val="restart"/>
          </w:tcPr>
          <w:p w14:paraId="1F5B281B" w14:textId="77777777" w:rsidR="009750AA" w:rsidRPr="00F7289B" w:rsidRDefault="009750AA" w:rsidP="00821E75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Primature du Cameroun</w:t>
            </w:r>
          </w:p>
        </w:tc>
        <w:tc>
          <w:tcPr>
            <w:tcW w:w="465" w:type="pct"/>
            <w:vMerge w:val="restart"/>
          </w:tcPr>
          <w:p w14:paraId="071E4707" w14:textId="77777777" w:rsidR="009750AA" w:rsidRPr="00136E1F" w:rsidRDefault="009750AA" w:rsidP="00821E75">
            <w:pPr>
              <w:rPr>
                <w:lang w:val="fr-FR"/>
              </w:rPr>
            </w:pPr>
            <w:r>
              <w:rPr>
                <w:lang w:val="fr-FR"/>
              </w:rPr>
              <w:t>MT</w:t>
            </w:r>
          </w:p>
        </w:tc>
        <w:tc>
          <w:tcPr>
            <w:tcW w:w="3025" w:type="pct"/>
          </w:tcPr>
          <w:p w14:paraId="2F977DA5" w14:textId="53CDE437" w:rsidR="009750AA" w:rsidRPr="009E2FCC" w:rsidRDefault="009750AA" w:rsidP="006B06B6">
            <w:pPr>
              <w:rPr>
                <w:lang w:val="fr-FR"/>
              </w:rPr>
            </w:pPr>
            <w:r w:rsidRPr="009E2FCC">
              <w:rPr>
                <w:lang w:val="fr-FR"/>
              </w:rPr>
              <w:t>Demande au Cameroun de signer les protocoles spécifique relatifs aux Accord</w:t>
            </w:r>
            <w:r>
              <w:rPr>
                <w:lang w:val="fr-FR"/>
              </w:rPr>
              <w:t>s</w:t>
            </w:r>
            <w:r w:rsidRPr="009E2FC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BSB et AT- </w:t>
            </w:r>
            <w:proofErr w:type="spellStart"/>
            <w:r w:rsidRPr="009E2FCC">
              <w:rPr>
                <w:lang w:val="fr-FR"/>
              </w:rPr>
              <w:t>lAB</w:t>
            </w:r>
            <w:proofErr w:type="spellEnd"/>
            <w:r w:rsidRPr="009E2FCC">
              <w:rPr>
                <w:lang w:val="fr-FR"/>
              </w:rPr>
              <w:t xml:space="preserve"> de N’Djamena</w:t>
            </w:r>
            <w:r>
              <w:rPr>
                <w:lang w:val="fr-FR"/>
              </w:rPr>
              <w:t> ;</w:t>
            </w:r>
          </w:p>
        </w:tc>
      </w:tr>
      <w:tr w:rsidR="009750AA" w14:paraId="2255E6E4" w14:textId="77777777" w:rsidTr="009750AA">
        <w:tc>
          <w:tcPr>
            <w:tcW w:w="659" w:type="pct"/>
            <w:vMerge/>
          </w:tcPr>
          <w:p w14:paraId="3FD86180" w14:textId="77777777" w:rsidR="009750AA" w:rsidRDefault="009750AA" w:rsidP="00821E75">
            <w:pPr>
              <w:rPr>
                <w:lang w:val="fr-FR"/>
              </w:rPr>
            </w:pPr>
          </w:p>
        </w:tc>
        <w:tc>
          <w:tcPr>
            <w:tcW w:w="851" w:type="pct"/>
            <w:vMerge/>
          </w:tcPr>
          <w:p w14:paraId="6B2130E2" w14:textId="77777777" w:rsidR="009750AA" w:rsidRPr="00F7289B" w:rsidRDefault="009750AA" w:rsidP="00821E75">
            <w:pPr>
              <w:rPr>
                <w:i/>
                <w:lang w:val="fr-FR"/>
              </w:rPr>
            </w:pPr>
          </w:p>
        </w:tc>
        <w:tc>
          <w:tcPr>
            <w:tcW w:w="465" w:type="pct"/>
            <w:vMerge/>
          </w:tcPr>
          <w:p w14:paraId="735D2F95" w14:textId="77777777" w:rsidR="009750AA" w:rsidRDefault="009750AA" w:rsidP="00821E75">
            <w:pPr>
              <w:rPr>
                <w:lang w:val="fr-FR"/>
              </w:rPr>
            </w:pPr>
          </w:p>
        </w:tc>
        <w:tc>
          <w:tcPr>
            <w:tcW w:w="3025" w:type="pct"/>
          </w:tcPr>
          <w:p w14:paraId="58F74D1B" w14:textId="19D03CBD" w:rsidR="009750AA" w:rsidRPr="009E2FCC" w:rsidRDefault="009750AA" w:rsidP="009750AA">
            <w:pPr>
              <w:rPr>
                <w:lang w:val="fr-FR"/>
              </w:rPr>
            </w:pPr>
            <w:r w:rsidRPr="009E2FCC">
              <w:rPr>
                <w:lang w:val="fr-FR"/>
              </w:rPr>
              <w:t>Demande aux administrations concernées (assistées de leurs PTF) de proposer des textes juridiques et réglementaires  autorisant la poursuite transfrontalière des criminels environnementaux par les écogardes, à l</w:t>
            </w:r>
            <w:r>
              <w:rPr>
                <w:lang w:val="fr-FR"/>
              </w:rPr>
              <w:t xml:space="preserve">’intérieur de l’espace </w:t>
            </w:r>
            <w:r w:rsidRPr="009E2FCC">
              <w:rPr>
                <w:lang w:val="fr-FR"/>
              </w:rPr>
              <w:t xml:space="preserve">BSB, en vue d’une validation binationale ; </w:t>
            </w:r>
          </w:p>
        </w:tc>
      </w:tr>
      <w:tr w:rsidR="009750AA" w14:paraId="51673DAD" w14:textId="77777777" w:rsidTr="009750AA">
        <w:tc>
          <w:tcPr>
            <w:tcW w:w="659" w:type="pct"/>
            <w:vMerge/>
          </w:tcPr>
          <w:p w14:paraId="3B5A9761" w14:textId="77777777" w:rsidR="009750AA" w:rsidRDefault="009750AA" w:rsidP="00821E75">
            <w:pPr>
              <w:rPr>
                <w:lang w:val="fr-FR"/>
              </w:rPr>
            </w:pPr>
          </w:p>
        </w:tc>
        <w:tc>
          <w:tcPr>
            <w:tcW w:w="851" w:type="pct"/>
            <w:vMerge/>
          </w:tcPr>
          <w:p w14:paraId="1D6E2AC0" w14:textId="77777777" w:rsidR="009750AA" w:rsidRPr="00F7289B" w:rsidRDefault="009750AA" w:rsidP="00821E75">
            <w:pPr>
              <w:rPr>
                <w:i/>
                <w:lang w:val="fr-FR"/>
              </w:rPr>
            </w:pPr>
          </w:p>
        </w:tc>
        <w:tc>
          <w:tcPr>
            <w:tcW w:w="465" w:type="pct"/>
            <w:vMerge/>
          </w:tcPr>
          <w:p w14:paraId="266AB84E" w14:textId="77777777" w:rsidR="009750AA" w:rsidRDefault="009750AA" w:rsidP="00821E75">
            <w:pPr>
              <w:rPr>
                <w:lang w:val="fr-FR"/>
              </w:rPr>
            </w:pPr>
          </w:p>
        </w:tc>
        <w:tc>
          <w:tcPr>
            <w:tcW w:w="3025" w:type="pct"/>
          </w:tcPr>
          <w:p w14:paraId="672D56C9" w14:textId="59E74B03" w:rsidR="009750AA" w:rsidRPr="009E2FCC" w:rsidRDefault="009750AA" w:rsidP="006B06B6">
            <w:pPr>
              <w:rPr>
                <w:lang w:val="fr-FR"/>
              </w:rPr>
            </w:pPr>
            <w:r w:rsidRPr="009E2FCC">
              <w:rPr>
                <w:lang w:val="fr-FR"/>
              </w:rPr>
              <w:t>P</w:t>
            </w:r>
            <w:r w:rsidRPr="009E2FCC">
              <w:rPr>
                <w:lang w:val="fr-FR"/>
              </w:rPr>
              <w:t xml:space="preserve">rend note des conclusions de la session des experts pays du BSB et demande aux </w:t>
            </w:r>
            <w:r w:rsidRPr="009E2FCC">
              <w:rPr>
                <w:lang w:val="fr-FR"/>
              </w:rPr>
              <w:t xml:space="preserve">Etats parties d’organiser la tenue des </w:t>
            </w:r>
            <w:r>
              <w:rPr>
                <w:lang w:val="fr-FR"/>
              </w:rPr>
              <w:t xml:space="preserve">Instance de décision, notamment le </w:t>
            </w:r>
            <w:r w:rsidRPr="009E2FCC">
              <w:rPr>
                <w:lang w:val="fr-FR"/>
              </w:rPr>
              <w:t>comité de supervision et d’Arbitrage et adopte</w:t>
            </w:r>
            <w:r w:rsidRPr="009E2FCC">
              <w:rPr>
                <w:lang w:val="fr-FR"/>
              </w:rPr>
              <w:t xml:space="preserve"> la feuille de route </w:t>
            </w:r>
            <w:r>
              <w:rPr>
                <w:lang w:val="fr-FR"/>
              </w:rPr>
              <w:t>proposée ;</w:t>
            </w:r>
          </w:p>
        </w:tc>
      </w:tr>
      <w:tr w:rsidR="009A42AF" w14:paraId="761B31B8" w14:textId="77777777" w:rsidTr="009750AA">
        <w:tc>
          <w:tcPr>
            <w:tcW w:w="659" w:type="pct"/>
          </w:tcPr>
          <w:p w14:paraId="0018752A" w14:textId="318763C7" w:rsidR="009A42AF" w:rsidRDefault="009A42AF" w:rsidP="009A42AF">
            <w:r>
              <w:rPr>
                <w:lang w:val="fr-FR"/>
              </w:rPr>
              <w:t>Aménagement territoires &amp; AP</w:t>
            </w:r>
          </w:p>
        </w:tc>
        <w:tc>
          <w:tcPr>
            <w:tcW w:w="851" w:type="pct"/>
          </w:tcPr>
          <w:p w14:paraId="45537F5C" w14:textId="77777777" w:rsidR="009A42AF" w:rsidRPr="00F7289B" w:rsidRDefault="009A42AF" w:rsidP="009A42AF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Conservateurs des AP du Bloc1</w:t>
            </w:r>
          </w:p>
        </w:tc>
        <w:tc>
          <w:tcPr>
            <w:tcW w:w="465" w:type="pct"/>
          </w:tcPr>
          <w:p w14:paraId="2F49C19E" w14:textId="77777777" w:rsidR="009A42AF" w:rsidRPr="00136E1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3B959FAB" w14:textId="718FC3D7" w:rsidR="009A42AF" w:rsidRPr="009E2FCC" w:rsidRDefault="009E2FCC" w:rsidP="009750AA">
            <w:pPr>
              <w:rPr>
                <w:lang w:val="fr-FR"/>
              </w:rPr>
            </w:pPr>
            <w:r>
              <w:rPr>
                <w:lang w:val="fr-FR"/>
              </w:rPr>
              <w:t>Demande d’é</w:t>
            </w:r>
            <w:r w:rsidR="009A42AF" w:rsidRPr="009E2FCC">
              <w:rPr>
                <w:lang w:val="fr-FR"/>
              </w:rPr>
              <w:t xml:space="preserve">tablir un cadre de concertation </w:t>
            </w:r>
            <w:r w:rsidR="009750AA">
              <w:rPr>
                <w:lang w:val="fr-FR"/>
              </w:rPr>
              <w:t xml:space="preserve">dans une approche </w:t>
            </w:r>
            <w:r w:rsidR="009A42AF" w:rsidRPr="009E2FCC">
              <w:rPr>
                <w:lang w:val="fr-FR"/>
              </w:rPr>
              <w:t xml:space="preserve">paysage </w:t>
            </w:r>
            <w:r w:rsidR="009750AA">
              <w:rPr>
                <w:lang w:val="fr-FR"/>
              </w:rPr>
              <w:t xml:space="preserve">des </w:t>
            </w:r>
            <w:r w:rsidR="009A42AF" w:rsidRPr="009E2FCC">
              <w:rPr>
                <w:lang w:val="fr-FR"/>
              </w:rPr>
              <w:t>AP</w:t>
            </w:r>
            <w:r w:rsidR="009750AA">
              <w:rPr>
                <w:lang w:val="fr-FR"/>
              </w:rPr>
              <w:t xml:space="preserve"> interconnectés </w:t>
            </w:r>
            <w:r>
              <w:rPr>
                <w:lang w:val="fr-FR"/>
              </w:rPr>
              <w:t xml:space="preserve">du bloc </w:t>
            </w:r>
            <w:r w:rsidR="009750AA">
              <w:rPr>
                <w:lang w:val="fr-FR"/>
              </w:rPr>
              <w:t xml:space="preserve">avec pour objectif de </w:t>
            </w:r>
            <w:r w:rsidR="009A42AF" w:rsidRPr="009E2FCC">
              <w:rPr>
                <w:lang w:val="fr-FR"/>
              </w:rPr>
              <w:t>collecter les données et établir des conventions locales d</w:t>
            </w:r>
            <w:r>
              <w:rPr>
                <w:lang w:val="fr-FR"/>
              </w:rPr>
              <w:t>’</w:t>
            </w:r>
            <w:r w:rsidR="009A42AF" w:rsidRPr="009E2FCC">
              <w:rPr>
                <w:lang w:val="fr-FR"/>
              </w:rPr>
              <w:t>utilisations des terres et des ressources (y inclus zonage et infrastructures de transhumance)</w:t>
            </w:r>
          </w:p>
        </w:tc>
      </w:tr>
      <w:tr w:rsidR="009A42AF" w14:paraId="2EA0D8C8" w14:textId="77777777" w:rsidTr="009750AA">
        <w:tc>
          <w:tcPr>
            <w:tcW w:w="659" w:type="pct"/>
          </w:tcPr>
          <w:p w14:paraId="0C4F4E71" w14:textId="2E149753" w:rsidR="009A42AF" w:rsidRPr="00F7289B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Aménagement territoires &amp; AP</w:t>
            </w:r>
          </w:p>
        </w:tc>
        <w:tc>
          <w:tcPr>
            <w:tcW w:w="851" w:type="pct"/>
          </w:tcPr>
          <w:p w14:paraId="5980FC6C" w14:textId="77777777" w:rsidR="009A42AF" w:rsidRPr="00F7289B" w:rsidRDefault="009A42AF" w:rsidP="009A42AF">
            <w:pPr>
              <w:rPr>
                <w:i/>
              </w:rPr>
            </w:pPr>
            <w:r w:rsidRPr="00F7289B">
              <w:rPr>
                <w:i/>
                <w:lang w:val="fr-FR"/>
              </w:rPr>
              <w:t xml:space="preserve">Ministres Environnement/Forêts </w:t>
            </w:r>
          </w:p>
        </w:tc>
        <w:tc>
          <w:tcPr>
            <w:tcW w:w="465" w:type="pct"/>
          </w:tcPr>
          <w:p w14:paraId="44609DFD" w14:textId="77777777" w:rsidR="009A42AF" w:rsidRPr="00B479C6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4999DC2F" w14:textId="38A02382" w:rsidR="009A42AF" w:rsidRPr="009E2FCC" w:rsidRDefault="009E2FCC" w:rsidP="009A42AF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9A42AF" w:rsidRPr="009E2FCC">
              <w:rPr>
                <w:lang w:val="fr-FR"/>
              </w:rPr>
              <w:t xml:space="preserve"> à la COMIFAC de mandater </w:t>
            </w:r>
            <w:r>
              <w:rPr>
                <w:lang w:val="fr-FR"/>
              </w:rPr>
              <w:t>l’</w:t>
            </w:r>
            <w:r w:rsidR="009A42AF" w:rsidRPr="009E2FCC">
              <w:rPr>
                <w:lang w:val="fr-FR"/>
              </w:rPr>
              <w:t xml:space="preserve">OFAC (assisté de ses PTF) pour observer en continu les indicateurs pertinents sur </w:t>
            </w:r>
            <w:r w:rsidR="009A42AF" w:rsidRPr="009E2FCC">
              <w:rPr>
                <w:rFonts w:hint="eastAsia"/>
                <w:lang w:val="fr-FR"/>
              </w:rPr>
              <w:t>l</w:t>
            </w:r>
            <w:r w:rsidR="009750AA">
              <w:rPr>
                <w:lang w:val="fr-FR"/>
              </w:rPr>
              <w:t>’</w:t>
            </w:r>
            <w:r w:rsidR="009A42AF" w:rsidRPr="009E2FCC">
              <w:rPr>
                <w:lang w:val="fr-FR"/>
              </w:rPr>
              <w:t>interface transhumance / aires protégées</w:t>
            </w:r>
          </w:p>
        </w:tc>
      </w:tr>
      <w:tr w:rsidR="009A42AF" w14:paraId="1E05F462" w14:textId="77777777" w:rsidTr="009750AA">
        <w:tc>
          <w:tcPr>
            <w:tcW w:w="659" w:type="pct"/>
          </w:tcPr>
          <w:p w14:paraId="66F2FFB8" w14:textId="6329294C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Aménagement territoires &amp; AP</w:t>
            </w:r>
          </w:p>
        </w:tc>
        <w:tc>
          <w:tcPr>
            <w:tcW w:w="851" w:type="pct"/>
          </w:tcPr>
          <w:p w14:paraId="13492245" w14:textId="77777777" w:rsidR="009A42AF" w:rsidRPr="00F7289B" w:rsidRDefault="009A42AF" w:rsidP="009A42AF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Conservateurs des AP du Bloc1</w:t>
            </w:r>
          </w:p>
        </w:tc>
        <w:tc>
          <w:tcPr>
            <w:tcW w:w="465" w:type="pct"/>
          </w:tcPr>
          <w:p w14:paraId="77B45E2C" w14:textId="77777777" w:rsidR="009A42AF" w:rsidRPr="00B479C6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5D8DA529" w14:textId="727F0F49" w:rsidR="009A42AF" w:rsidRPr="009E2FCC" w:rsidRDefault="009E2FCC" w:rsidP="009E2FCC">
            <w:pPr>
              <w:rPr>
                <w:lang w:val="fr-FR"/>
              </w:rPr>
            </w:pPr>
            <w:r>
              <w:rPr>
                <w:lang w:val="fr-FR"/>
              </w:rPr>
              <w:t>Demande d’o</w:t>
            </w:r>
            <w:r w:rsidR="009A42AF" w:rsidRPr="009E2FCC">
              <w:rPr>
                <w:lang w:val="fr-FR"/>
              </w:rPr>
              <w:t xml:space="preserve">rganiser et </w:t>
            </w:r>
            <w:r w:rsidR="009750AA">
              <w:rPr>
                <w:lang w:val="fr-FR"/>
              </w:rPr>
              <w:t xml:space="preserve">de </w:t>
            </w:r>
            <w:r w:rsidR="009A42AF" w:rsidRPr="009E2FCC">
              <w:rPr>
                <w:lang w:val="fr-FR"/>
              </w:rPr>
              <w:t>réaliser une campagne de sensibilisation de toutes les parties prenantes, en particulier pastorales, sur l</w:t>
            </w:r>
            <w:r w:rsidR="009A42AF" w:rsidRPr="009E2FCC">
              <w:rPr>
                <w:rFonts w:hint="eastAsia"/>
                <w:lang w:val="fr-FR"/>
              </w:rPr>
              <w:t xml:space="preserve">es </w:t>
            </w:r>
            <w:r w:rsidR="009A42AF" w:rsidRPr="009E2FCC">
              <w:rPr>
                <w:lang w:val="fr-FR"/>
              </w:rPr>
              <w:t xml:space="preserve">éloignements et le cas échéant les </w:t>
            </w:r>
            <w:r w:rsidR="009A42AF" w:rsidRPr="009E2FCC">
              <w:rPr>
                <w:rFonts w:hint="eastAsia"/>
                <w:lang w:val="fr-FR"/>
              </w:rPr>
              <w:t xml:space="preserve">abattages administratifs </w:t>
            </w:r>
            <w:r w:rsidR="009A42AF" w:rsidRPr="009E2FCC">
              <w:rPr>
                <w:lang w:val="fr-FR"/>
              </w:rPr>
              <w:t xml:space="preserve">de bétails vaquant illégalement dans les AP, </w:t>
            </w:r>
            <w:r w:rsidR="009A42AF" w:rsidRPr="009E2FCC">
              <w:rPr>
                <w:rFonts w:hint="eastAsia"/>
                <w:lang w:val="fr-FR"/>
              </w:rPr>
              <w:t>qui seront organisés à pa</w:t>
            </w:r>
            <w:r w:rsidR="009A42AF" w:rsidRPr="009E2FCC">
              <w:rPr>
                <w:lang w:val="fr-FR"/>
              </w:rPr>
              <w:t>r</w:t>
            </w:r>
            <w:r w:rsidR="009A42AF" w:rsidRPr="009E2FCC">
              <w:rPr>
                <w:rFonts w:hint="eastAsia"/>
                <w:lang w:val="fr-FR"/>
              </w:rPr>
              <w:t xml:space="preserve">tir de </w:t>
            </w:r>
            <w:r w:rsidR="009A42AF" w:rsidRPr="009E2FCC">
              <w:rPr>
                <w:lang w:val="fr-FR"/>
              </w:rPr>
              <w:t>2020</w:t>
            </w:r>
          </w:p>
        </w:tc>
      </w:tr>
      <w:tr w:rsidR="009A42AF" w14:paraId="65EB9A01" w14:textId="77777777" w:rsidTr="009750AA">
        <w:tc>
          <w:tcPr>
            <w:tcW w:w="659" w:type="pct"/>
          </w:tcPr>
          <w:p w14:paraId="4162796B" w14:textId="35D841EB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Diplomatie</w:t>
            </w:r>
          </w:p>
        </w:tc>
        <w:tc>
          <w:tcPr>
            <w:tcW w:w="851" w:type="pct"/>
          </w:tcPr>
          <w:p w14:paraId="79D8C8DF" w14:textId="44659269" w:rsidR="009A42AF" w:rsidRPr="00F7289B" w:rsidRDefault="009A42AF" w:rsidP="009A42AF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Environnement/Forêts</w:t>
            </w:r>
          </w:p>
        </w:tc>
        <w:tc>
          <w:tcPr>
            <w:tcW w:w="465" w:type="pct"/>
          </w:tcPr>
          <w:p w14:paraId="0C9F0C66" w14:textId="371724E3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LT</w:t>
            </w:r>
          </w:p>
        </w:tc>
        <w:tc>
          <w:tcPr>
            <w:tcW w:w="3025" w:type="pct"/>
          </w:tcPr>
          <w:p w14:paraId="4CAB626C" w14:textId="4A79703D" w:rsidR="009A42AF" w:rsidRPr="009E2FCC" w:rsidRDefault="009E2FCC" w:rsidP="009E2FCC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9A42AF" w:rsidRPr="009E2FCC">
              <w:rPr>
                <w:lang w:val="fr-FR"/>
              </w:rPr>
              <w:t xml:space="preserve"> à la COMIFAC d</w:t>
            </w:r>
            <w:r>
              <w:rPr>
                <w:lang w:val="fr-FR"/>
              </w:rPr>
              <w:t>’</w:t>
            </w:r>
            <w:r w:rsidR="009A42AF" w:rsidRPr="009E2FCC">
              <w:rPr>
                <w:lang w:val="fr-FR"/>
              </w:rPr>
              <w:t xml:space="preserve">établir un groupe de travail provisoire pour </w:t>
            </w:r>
            <w:r>
              <w:rPr>
                <w:lang w:val="fr-FR"/>
              </w:rPr>
              <w:t xml:space="preserve">analyser et </w:t>
            </w:r>
            <w:r w:rsidR="009A42AF" w:rsidRPr="009E2FCC">
              <w:rPr>
                <w:lang w:val="fr-FR"/>
              </w:rPr>
              <w:t>comparer les dispositifs nationaux de compensation des dommages aux cultures causés par la faune</w:t>
            </w:r>
            <w:r>
              <w:rPr>
                <w:lang w:val="fr-FR"/>
              </w:rPr>
              <w:t xml:space="preserve"> des pays du bloc Nord –Ouest et explorer les options de mise en œuvre</w:t>
            </w:r>
          </w:p>
        </w:tc>
      </w:tr>
      <w:tr w:rsidR="009A42AF" w14:paraId="35057F09" w14:textId="77777777" w:rsidTr="009750AA">
        <w:tc>
          <w:tcPr>
            <w:tcW w:w="659" w:type="pct"/>
          </w:tcPr>
          <w:p w14:paraId="070BFDCA" w14:textId="33A29523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Lutte anti-braconnage (LAB)</w:t>
            </w:r>
          </w:p>
        </w:tc>
        <w:tc>
          <w:tcPr>
            <w:tcW w:w="851" w:type="pct"/>
          </w:tcPr>
          <w:p w14:paraId="7213DFC2" w14:textId="310010A9" w:rsidR="009A42AF" w:rsidRPr="00F7289B" w:rsidRDefault="009A42AF" w:rsidP="009A42AF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Environnement/Forêts</w:t>
            </w:r>
          </w:p>
        </w:tc>
        <w:tc>
          <w:tcPr>
            <w:tcW w:w="465" w:type="pct"/>
          </w:tcPr>
          <w:p w14:paraId="7F7C0A36" w14:textId="6A8BF9C9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54A0B9D2" w14:textId="30C75658" w:rsidR="009A42AF" w:rsidRPr="009E2FCC" w:rsidRDefault="009750AA" w:rsidP="009E2FCC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9A42AF" w:rsidRPr="009E2FCC">
              <w:rPr>
                <w:lang w:val="fr-FR"/>
              </w:rPr>
              <w:t xml:space="preserve"> aux administrations concernées (assistées de leurs PTF) d</w:t>
            </w:r>
            <w:r w:rsidR="009E2FCC">
              <w:rPr>
                <w:lang w:val="fr-FR"/>
              </w:rPr>
              <w:t>’</w:t>
            </w:r>
            <w:r>
              <w:rPr>
                <w:lang w:val="fr-FR"/>
              </w:rPr>
              <w:t xml:space="preserve">organiser une réunion bi / </w:t>
            </w:r>
            <w:r w:rsidR="009E2FCC">
              <w:rPr>
                <w:lang w:val="fr-FR"/>
              </w:rPr>
              <w:t>tri</w:t>
            </w:r>
            <w:r w:rsidR="009A42AF" w:rsidRPr="009E2FCC">
              <w:rPr>
                <w:lang w:val="fr-FR"/>
              </w:rPr>
              <w:t>-nationale d</w:t>
            </w:r>
            <w:r w:rsidR="009E2FCC">
              <w:rPr>
                <w:lang w:val="fr-FR"/>
              </w:rPr>
              <w:t>’</w:t>
            </w:r>
            <w:r w:rsidR="009A42AF" w:rsidRPr="009E2FCC">
              <w:rPr>
                <w:lang w:val="fr-FR"/>
              </w:rPr>
              <w:t xml:space="preserve">évaluation AFOM de leurs forces respectives impliquées dans la LAB, afin de </w:t>
            </w:r>
            <w:r>
              <w:rPr>
                <w:lang w:val="fr-FR"/>
              </w:rPr>
              <w:t xml:space="preserve">prendre de mesures pour </w:t>
            </w:r>
            <w:r w:rsidR="009A42AF" w:rsidRPr="009E2FCC">
              <w:rPr>
                <w:lang w:val="fr-FR"/>
              </w:rPr>
              <w:t>combler leurs lacunes opérationnelles</w:t>
            </w:r>
          </w:p>
        </w:tc>
      </w:tr>
      <w:tr w:rsidR="009A42AF" w14:paraId="0708048E" w14:textId="77777777" w:rsidTr="009750AA">
        <w:tc>
          <w:tcPr>
            <w:tcW w:w="659" w:type="pct"/>
          </w:tcPr>
          <w:p w14:paraId="40096EE0" w14:textId="7F401F66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Lutte anti-braconnage (LAB)</w:t>
            </w:r>
          </w:p>
        </w:tc>
        <w:tc>
          <w:tcPr>
            <w:tcW w:w="851" w:type="pct"/>
          </w:tcPr>
          <w:p w14:paraId="44EF4D95" w14:textId="7FA0C68B" w:rsidR="009A42AF" w:rsidRPr="00F7289B" w:rsidRDefault="009A42AF" w:rsidP="009A42AF">
            <w:pPr>
              <w:rPr>
                <w:i/>
                <w:lang w:val="fr-FR"/>
              </w:rPr>
            </w:pPr>
            <w:r w:rsidRPr="00F7289B">
              <w:rPr>
                <w:i/>
                <w:lang w:val="fr-FR"/>
              </w:rPr>
              <w:t>Ministres Environnement/Forêts</w:t>
            </w:r>
          </w:p>
        </w:tc>
        <w:tc>
          <w:tcPr>
            <w:tcW w:w="465" w:type="pct"/>
          </w:tcPr>
          <w:p w14:paraId="2B802E8A" w14:textId="55EDAF97" w:rsidR="009A42AF" w:rsidRDefault="009A42AF" w:rsidP="009A42AF">
            <w:pPr>
              <w:rPr>
                <w:lang w:val="fr-FR"/>
              </w:rPr>
            </w:pPr>
            <w:r>
              <w:rPr>
                <w:lang w:val="fr-FR"/>
              </w:rPr>
              <w:t>CT</w:t>
            </w:r>
          </w:p>
        </w:tc>
        <w:tc>
          <w:tcPr>
            <w:tcW w:w="3025" w:type="pct"/>
          </w:tcPr>
          <w:p w14:paraId="6F861CB3" w14:textId="016DA586" w:rsidR="009A42AF" w:rsidRDefault="009750AA" w:rsidP="009750AA">
            <w:pPr>
              <w:rPr>
                <w:lang w:val="fr-FR"/>
              </w:rPr>
            </w:pPr>
            <w:r>
              <w:rPr>
                <w:lang w:val="fr-FR"/>
              </w:rPr>
              <w:t xml:space="preserve">Demande </w:t>
            </w:r>
            <w:r w:rsidR="009A42AF">
              <w:rPr>
                <w:lang w:val="fr-FR"/>
              </w:rPr>
              <w:t>aux administrations concernées (assistées de leurs PTF) de proposer des textes juridiques et réglementaires  établissant un statut de « garde communautaire » - et de partager ces propositions avec les homologues régionaux</w:t>
            </w:r>
          </w:p>
        </w:tc>
      </w:tr>
    </w:tbl>
    <w:p w14:paraId="647CADA8" w14:textId="77777777" w:rsidR="002E1B35" w:rsidRPr="002E1B35" w:rsidRDefault="002E1B35">
      <w:pPr>
        <w:rPr>
          <w:lang w:val="fr-FR"/>
        </w:rPr>
      </w:pPr>
    </w:p>
    <w:sectPr w:rsidR="002E1B35" w:rsidRPr="002E1B35" w:rsidSect="009750AA">
      <w:pgSz w:w="16840" w:h="11900" w:orient="landscape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85"/>
    <w:rsid w:val="00102519"/>
    <w:rsid w:val="001140E6"/>
    <w:rsid w:val="00127E05"/>
    <w:rsid w:val="00136E1F"/>
    <w:rsid w:val="002E1B35"/>
    <w:rsid w:val="00523E9C"/>
    <w:rsid w:val="00546EDD"/>
    <w:rsid w:val="006262BD"/>
    <w:rsid w:val="00645620"/>
    <w:rsid w:val="00656EB3"/>
    <w:rsid w:val="006B06B6"/>
    <w:rsid w:val="00746455"/>
    <w:rsid w:val="007840A2"/>
    <w:rsid w:val="007A17DF"/>
    <w:rsid w:val="007B578A"/>
    <w:rsid w:val="007E781E"/>
    <w:rsid w:val="008022FF"/>
    <w:rsid w:val="00821E75"/>
    <w:rsid w:val="00915306"/>
    <w:rsid w:val="0092426E"/>
    <w:rsid w:val="009750AA"/>
    <w:rsid w:val="009A42AF"/>
    <w:rsid w:val="009E2FCC"/>
    <w:rsid w:val="00A0159C"/>
    <w:rsid w:val="00A60EF6"/>
    <w:rsid w:val="00AF785F"/>
    <w:rsid w:val="00B03885"/>
    <w:rsid w:val="00B479C6"/>
    <w:rsid w:val="00C47007"/>
    <w:rsid w:val="00C92D61"/>
    <w:rsid w:val="00CE007E"/>
    <w:rsid w:val="00DA7815"/>
    <w:rsid w:val="00DC195C"/>
    <w:rsid w:val="00F72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35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E1B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E1B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xscqs</dc:creator>
  <cp:lastModifiedBy>UserLA3490</cp:lastModifiedBy>
  <cp:revision>7</cp:revision>
  <dcterms:created xsi:type="dcterms:W3CDTF">2019-01-24T13:30:00Z</dcterms:created>
  <dcterms:modified xsi:type="dcterms:W3CDTF">2019-01-24T14:16:00Z</dcterms:modified>
</cp:coreProperties>
</file>