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65E6" w14:textId="2FD8C8E3" w:rsidR="00D62E62" w:rsidRDefault="00D62E62" w:rsidP="00C36C77">
      <w:bookmarkStart w:id="0" w:name="_GoBack"/>
      <w:bookmarkEnd w:id="0"/>
      <w:r>
        <w:t xml:space="preserve">RAPPORT du Groupe de Travail N0 2 : Bloc </w:t>
      </w:r>
      <w:r w:rsidR="00F451E4">
        <w:t>Central</w:t>
      </w:r>
      <w:r>
        <w:t xml:space="preserve"> Soudan-Tchad-RCA</w:t>
      </w:r>
    </w:p>
    <w:p w14:paraId="74AE594C" w14:textId="7DCB162D" w:rsidR="00D62E62" w:rsidRDefault="00F451E4" w:rsidP="00C36C77">
      <w:r>
        <w:t>Modérateur</w:t>
      </w:r>
      <w:r w:rsidR="00D62E62">
        <w:t> : Paul ELKAN</w:t>
      </w:r>
    </w:p>
    <w:p w14:paraId="5293239A" w14:textId="1F01EAE2" w:rsidR="00D62E62" w:rsidRDefault="00D62E62" w:rsidP="00C36C77">
      <w:r>
        <w:t>Rapporteur : Jean Pierre AGNANGOY</w:t>
      </w:r>
      <w:r w:rsidR="00F451E4">
        <w:t>E</w:t>
      </w:r>
    </w:p>
    <w:p w14:paraId="5E9EFB90" w14:textId="3A2FDC10" w:rsidR="00D62E62" w:rsidRDefault="00D62E62" w:rsidP="00C36C77">
      <w:r>
        <w:t>Membres :</w:t>
      </w:r>
    </w:p>
    <w:p w14:paraId="1D69D27D" w14:textId="17B1F9A5" w:rsidR="00D62E62" w:rsidRDefault="001F4E2B" w:rsidP="00C36C77">
      <w:r>
        <w:t>En guise d’introduction, le Président a</w:t>
      </w:r>
      <w:r w:rsidR="00D62E62">
        <w:t xml:space="preserve"> présent</w:t>
      </w:r>
      <w:r>
        <w:t>é les</w:t>
      </w:r>
      <w:r w:rsidR="00D62E62">
        <w:t xml:space="preserve"> </w:t>
      </w:r>
      <w:proofErr w:type="spellStart"/>
      <w:r w:rsidR="00D62E62">
        <w:t>TdR</w:t>
      </w:r>
      <w:proofErr w:type="spellEnd"/>
      <w:r w:rsidR="00D62E62">
        <w:t xml:space="preserve"> du groupe de travail </w:t>
      </w:r>
      <w:r>
        <w:t>et une description rapide du</w:t>
      </w:r>
      <w:r w:rsidR="00D62E62">
        <w:t xml:space="preserve"> bloc géographique </w:t>
      </w:r>
      <w:r>
        <w:t xml:space="preserve">2. Au terme des échanges préliminaires, les participants ont  formulé à l’issu de quelques constats les amendements ci-dessous : </w:t>
      </w:r>
    </w:p>
    <w:p w14:paraId="21C2EEEF" w14:textId="4E54FEF2" w:rsidR="005130CF" w:rsidRDefault="005130CF" w:rsidP="00C36C77">
      <w:r>
        <w:t>Constats</w:t>
      </w:r>
    </w:p>
    <w:p w14:paraId="5D7ED633" w14:textId="2A9F7539" w:rsidR="001F4E2B" w:rsidRDefault="001F4E2B" w:rsidP="001F4E2B">
      <w:pPr>
        <w:pStyle w:val="Paragraphedeliste"/>
        <w:numPr>
          <w:ilvl w:val="0"/>
          <w:numId w:val="19"/>
        </w:numPr>
      </w:pPr>
      <w:r>
        <w:t>L’absence d’accord de gestion transfrontalier d’aires protégées entre les pays S</w:t>
      </w:r>
      <w:r w:rsidR="00F451E4">
        <w:t>o</w:t>
      </w:r>
      <w:r>
        <w:t>udan, Tchad et RCA;</w:t>
      </w:r>
    </w:p>
    <w:p w14:paraId="0A11252A" w14:textId="0EAFB172" w:rsidR="001F4E2B" w:rsidRDefault="001F4E2B" w:rsidP="001F4E2B">
      <w:pPr>
        <w:pStyle w:val="Paragraphedeliste"/>
        <w:numPr>
          <w:ilvl w:val="0"/>
          <w:numId w:val="19"/>
        </w:numPr>
      </w:pPr>
      <w:r>
        <w:t>La nécessité de considérer les éleveurs transhumants comme étant des acteurs partenaires et non des adversaires voire des braconniers</w:t>
      </w:r>
      <w:r w:rsidR="009F7728">
        <w:t>.</w:t>
      </w:r>
    </w:p>
    <w:p w14:paraId="591A1327" w14:textId="77777777" w:rsidR="00D62E62" w:rsidRDefault="00D62E62" w:rsidP="00C36C77"/>
    <w:p w14:paraId="32A83CA0" w14:textId="4A0F91B3" w:rsidR="00EE1EFD" w:rsidRPr="005130CF" w:rsidRDefault="005130CF" w:rsidP="00C36C77">
      <w:pPr>
        <w:ind w:firstLine="360"/>
        <w:rPr>
          <w:b/>
        </w:rPr>
      </w:pPr>
      <w:r>
        <w:rPr>
          <w:b/>
        </w:rPr>
        <w:t>Examen des r</w:t>
      </w:r>
      <w:r w:rsidR="00EE1EFD" w:rsidRPr="005130CF">
        <w:rPr>
          <w:b/>
        </w:rPr>
        <w:t>ecommandations</w:t>
      </w:r>
      <w:r w:rsidR="0053072E" w:rsidRPr="005130CF">
        <w:rPr>
          <w:b/>
        </w:rPr>
        <w:t xml:space="preserve"> générales</w:t>
      </w:r>
      <w:r w:rsidR="005314E5" w:rsidRPr="005130CF">
        <w:rPr>
          <w:b/>
        </w:rPr>
        <w:t xml:space="preserve"> </w:t>
      </w:r>
      <w:r w:rsidR="00EE1EFD" w:rsidRPr="005130CF">
        <w:rPr>
          <w:b/>
        </w:rPr>
        <w:t>:</w:t>
      </w:r>
    </w:p>
    <w:p w14:paraId="7BD4D9CC" w14:textId="0D24DE43" w:rsidR="0053072E" w:rsidRPr="00772966" w:rsidRDefault="003A45B5" w:rsidP="00C36C77">
      <w:pPr>
        <w:ind w:firstLine="0"/>
        <w:rPr>
          <w:u w:val="single"/>
        </w:rPr>
      </w:pPr>
      <w:r w:rsidRPr="00772966">
        <w:rPr>
          <w:u w:val="single"/>
        </w:rPr>
        <w:t>Transhumance</w:t>
      </w:r>
    </w:p>
    <w:p w14:paraId="2BA116EB" w14:textId="578BEAD5" w:rsidR="00EE1EFD" w:rsidRPr="00772966" w:rsidRDefault="00EE1EFD" w:rsidP="00F875AE">
      <w:pPr>
        <w:pStyle w:val="Paragraphedeliste"/>
        <w:numPr>
          <w:ilvl w:val="0"/>
          <w:numId w:val="5"/>
        </w:numPr>
      </w:pPr>
      <w:r w:rsidRPr="00772966">
        <w:t xml:space="preserve">Encadrement de la transhumance </w:t>
      </w:r>
      <w:r w:rsidR="00AA5BE8" w:rsidRPr="00772966">
        <w:t xml:space="preserve">transnationale </w:t>
      </w:r>
      <w:r w:rsidRPr="00772966">
        <w:t xml:space="preserve">entre le Sahel et l’Afrique Equatoriale </w:t>
      </w:r>
      <w:r w:rsidR="003A45B5" w:rsidRPr="00772966">
        <w:t>(Réponse</w:t>
      </w:r>
      <w:r w:rsidRPr="00772966">
        <w:t xml:space="preserve"> </w:t>
      </w:r>
      <w:r w:rsidR="003A45B5" w:rsidRPr="00772966">
        <w:t>économique, aménagement territoriale,</w:t>
      </w:r>
      <w:r w:rsidRPr="00772966">
        <w:t xml:space="preserve"> </w:t>
      </w:r>
      <w:r w:rsidR="003A45B5" w:rsidRPr="00772966">
        <w:t>sécuritaires, collaboration sous régionale sur la transhumance</w:t>
      </w:r>
      <w:r w:rsidRPr="00772966">
        <w:t>)</w:t>
      </w:r>
      <w:r w:rsidR="003A45B5" w:rsidRPr="00772966">
        <w:t xml:space="preserve">. Une attention </w:t>
      </w:r>
      <w:r w:rsidR="000031DB" w:rsidRPr="00772966">
        <w:t xml:space="preserve">particulière doit être portée </w:t>
      </w:r>
      <w:r w:rsidR="003A45B5" w:rsidRPr="00772966">
        <w:t>sur la dégradation des écosystèmes autour du Lac Tchad</w:t>
      </w:r>
      <w:r w:rsidR="000031DB" w:rsidRPr="00772966">
        <w:t> ;</w:t>
      </w:r>
    </w:p>
    <w:p w14:paraId="0C8817BB" w14:textId="76B9E4DB" w:rsidR="00305957" w:rsidRPr="00772966" w:rsidRDefault="00305957" w:rsidP="00F875AE">
      <w:pPr>
        <w:pStyle w:val="Paragraphedeliste"/>
        <w:numPr>
          <w:ilvl w:val="0"/>
          <w:numId w:val="5"/>
        </w:numPr>
      </w:pPr>
      <w:r w:rsidRPr="00772966">
        <w:t>Définir et mettre en place de corridors de transhumance sécurisés, aménagés et contrôlées qui soient en dehors des aires protégées ;</w:t>
      </w:r>
    </w:p>
    <w:p w14:paraId="37316828" w14:textId="0BCC2EAE" w:rsidR="000031DB" w:rsidRPr="00772966" w:rsidRDefault="000031DB" w:rsidP="00305957">
      <w:pPr>
        <w:pStyle w:val="Paragraphedeliste"/>
        <w:numPr>
          <w:ilvl w:val="0"/>
          <w:numId w:val="5"/>
        </w:numPr>
      </w:pPr>
      <w:r w:rsidRPr="00772966">
        <w:t>Restaurer/développer des plans d’utilisation des terres, en collaboration avec les éleveurs transhumants et les agriculteurs sédentaires, dans les principales zones de transhumance, afin d’éviter les conflits ;</w:t>
      </w:r>
    </w:p>
    <w:p w14:paraId="7ED95ECD" w14:textId="3A43F885" w:rsidR="00305957" w:rsidRPr="00772966" w:rsidRDefault="00305957">
      <w:pPr>
        <w:pStyle w:val="Paragraphedeliste"/>
        <w:numPr>
          <w:ilvl w:val="0"/>
          <w:numId w:val="5"/>
        </w:numPr>
      </w:pPr>
      <w:r w:rsidRPr="00772966">
        <w:t xml:space="preserve">Organiser des campagnes de sensibilisation auprès des chefs traditionnels des </w:t>
      </w:r>
      <w:r w:rsidR="007B69B9" w:rsidRPr="00772966">
        <w:t>ethnies</w:t>
      </w:r>
      <w:r w:rsidRPr="00772966">
        <w:t xml:space="preserve"> d’éleveurs transhumants :</w:t>
      </w:r>
    </w:p>
    <w:p w14:paraId="31FB13A4" w14:textId="4D421574" w:rsidR="00EE1EFD" w:rsidRPr="00772966" w:rsidRDefault="003A45B5">
      <w:pPr>
        <w:pStyle w:val="Paragraphedeliste"/>
        <w:numPr>
          <w:ilvl w:val="0"/>
          <w:numId w:val="5"/>
        </w:numPr>
      </w:pPr>
      <w:r w:rsidRPr="00772966">
        <w:t>Dégagements</w:t>
      </w:r>
      <w:r w:rsidR="00EE1EFD" w:rsidRPr="00772966">
        <w:t xml:space="preserve"> des </w:t>
      </w:r>
      <w:r w:rsidRPr="00772966">
        <w:t>présences</w:t>
      </w:r>
      <w:r w:rsidR="00EE1EFD" w:rsidRPr="00772966">
        <w:t xml:space="preserve"> non </w:t>
      </w:r>
      <w:r w:rsidRPr="00772966">
        <w:t>autorisées</w:t>
      </w:r>
      <w:r w:rsidR="00EE1EFD" w:rsidRPr="00772966">
        <w:t xml:space="preserve"> dans les aires </w:t>
      </w:r>
      <w:r w:rsidRPr="00772966">
        <w:t>protégées</w:t>
      </w:r>
      <w:r w:rsidR="00EE1EFD" w:rsidRPr="00772966">
        <w:t xml:space="preserve"> et renforcement des </w:t>
      </w:r>
      <w:r w:rsidRPr="00772966">
        <w:t>capacités</w:t>
      </w:r>
      <w:r w:rsidR="00EE1EFD" w:rsidRPr="00772966">
        <w:t xml:space="preserve"> de </w:t>
      </w:r>
      <w:r w:rsidRPr="00772966">
        <w:t>réaction</w:t>
      </w:r>
      <w:r w:rsidR="00EE1EFD" w:rsidRPr="00772966">
        <w:t xml:space="preserve"> de lutte </w:t>
      </w:r>
      <w:r w:rsidR="009B7384" w:rsidRPr="00772966">
        <w:t>contre la criminalité faunique</w:t>
      </w:r>
      <w:r w:rsidR="009B7384" w:rsidRPr="00772966">
        <w:rPr>
          <w:rStyle w:val="tlid-translation"/>
        </w:rPr>
        <w:t xml:space="preserve"> </w:t>
      </w:r>
      <w:r w:rsidR="00EE1EFD" w:rsidRPr="00772966">
        <w:t xml:space="preserve">dans et </w:t>
      </w:r>
      <w:r w:rsidRPr="00772966">
        <w:t>autour des aires protégées</w:t>
      </w:r>
      <w:r w:rsidR="000031DB" w:rsidRPr="00772966">
        <w:t> ;</w:t>
      </w:r>
    </w:p>
    <w:p w14:paraId="082D5312" w14:textId="3692E6FB" w:rsidR="003A45B5" w:rsidRPr="00772966" w:rsidRDefault="000031DB">
      <w:pPr>
        <w:pStyle w:val="Paragraphedeliste"/>
        <w:numPr>
          <w:ilvl w:val="0"/>
          <w:numId w:val="5"/>
        </w:numPr>
      </w:pPr>
      <w:r w:rsidRPr="00772966">
        <w:t xml:space="preserve">Mise en place d’un réseau de collecte de données et d’une plateforme régionale </w:t>
      </w:r>
      <w:r w:rsidR="00C36C77" w:rsidRPr="00772966">
        <w:t>multisectorielle</w:t>
      </w:r>
      <w:r w:rsidRPr="00772966">
        <w:t xml:space="preserve"> d’analyse et de suivi </w:t>
      </w:r>
      <w:r w:rsidR="003A45B5" w:rsidRPr="00772966">
        <w:t xml:space="preserve">sur la transhumance et la lutte </w:t>
      </w:r>
      <w:r w:rsidR="009B7384" w:rsidRPr="00772966">
        <w:t>contre la criminalité faunique</w:t>
      </w:r>
      <w:r w:rsidR="009B7384" w:rsidRPr="00772966">
        <w:rPr>
          <w:rStyle w:val="tlid-translation"/>
        </w:rPr>
        <w:t xml:space="preserve"> </w:t>
      </w:r>
      <w:r w:rsidR="003A45B5" w:rsidRPr="00772966">
        <w:t>entre le Sahel et l’Afrique Equatoriale</w:t>
      </w:r>
      <w:r w:rsidRPr="00772966">
        <w:t> ;</w:t>
      </w:r>
      <w:r w:rsidR="001E74D9" w:rsidRPr="00BA413D">
        <w:t xml:space="preserve"> Mettre</w:t>
      </w:r>
      <w:r w:rsidR="00772966">
        <w:t xml:space="preserve"> en place un observatoire des mouvements de transhumance</w:t>
      </w:r>
    </w:p>
    <w:p w14:paraId="1BFBA197" w14:textId="77777777" w:rsidR="00A63D85" w:rsidRPr="00772966" w:rsidRDefault="003A45B5" w:rsidP="00305957">
      <w:pPr>
        <w:pStyle w:val="Paragraphedeliste"/>
        <w:numPr>
          <w:ilvl w:val="0"/>
          <w:numId w:val="5"/>
        </w:numPr>
      </w:pPr>
      <w:r w:rsidRPr="005130CF">
        <w:t>Appui au déploiement</w:t>
      </w:r>
      <w:r w:rsidR="00EE1EFD" w:rsidRPr="005130CF">
        <w:t xml:space="preserve"> des forces de </w:t>
      </w:r>
      <w:r w:rsidRPr="005130CF">
        <w:t>défense</w:t>
      </w:r>
      <w:r w:rsidR="00EE1EFD" w:rsidRPr="005130CF">
        <w:t xml:space="preserve"> le long des zones </w:t>
      </w:r>
      <w:r w:rsidR="000031DB" w:rsidRPr="005130CF">
        <w:t xml:space="preserve">de haute intensité de </w:t>
      </w:r>
      <w:r w:rsidR="00EE1EFD" w:rsidRPr="00772966">
        <w:t>braconnage</w:t>
      </w:r>
      <w:r w:rsidR="000031DB" w:rsidRPr="00772966">
        <w:t xml:space="preserve"> coïncidant avec </w:t>
      </w:r>
      <w:r w:rsidR="00C36C77" w:rsidRPr="00772966">
        <w:t>les présences</w:t>
      </w:r>
      <w:r w:rsidR="000031DB" w:rsidRPr="00772966">
        <w:t xml:space="preserve"> de groupes armés et de passage d’éleveurs transhumants.</w:t>
      </w:r>
    </w:p>
    <w:p w14:paraId="5E4246B1" w14:textId="40AC59E2" w:rsidR="00305957" w:rsidRPr="00772966" w:rsidRDefault="002B3A29" w:rsidP="00305957">
      <w:pPr>
        <w:pStyle w:val="Paragraphedeliste"/>
        <w:numPr>
          <w:ilvl w:val="0"/>
          <w:numId w:val="5"/>
        </w:numPr>
      </w:pPr>
      <w:r w:rsidRPr="00772966">
        <w:t>Développement</w:t>
      </w:r>
      <w:r w:rsidR="00A63D85" w:rsidRPr="00772966">
        <w:t xml:space="preserve"> des </w:t>
      </w:r>
      <w:r w:rsidRPr="00772966">
        <w:t>capacités</w:t>
      </w:r>
      <w:r w:rsidR="00A63D85" w:rsidRPr="00772966">
        <w:t xml:space="preserve"> dans l’utilisation des outils d’échange d’information, notamment A</w:t>
      </w:r>
      <w:r w:rsidRPr="00772966">
        <w:t>FRICA</w:t>
      </w:r>
      <w:r w:rsidR="00A63D85" w:rsidRPr="00772966">
        <w:t>-TWIX qui a été développé par TRAFFIC</w:t>
      </w:r>
      <w:r w:rsidRPr="00772966">
        <w:t>.</w:t>
      </w:r>
      <w:r w:rsidR="000031DB" w:rsidRPr="00772966">
        <w:t xml:space="preserve"> </w:t>
      </w:r>
    </w:p>
    <w:p w14:paraId="45D6D60A" w14:textId="138E899F" w:rsidR="003A45B5" w:rsidRPr="00772966" w:rsidRDefault="003A45B5" w:rsidP="00C36C77">
      <w:pPr>
        <w:ind w:firstLine="0"/>
      </w:pPr>
      <w:r w:rsidRPr="00772966">
        <w:rPr>
          <w:u w:val="single"/>
        </w:rPr>
        <w:t xml:space="preserve">Système de gestion des Aires protégées </w:t>
      </w:r>
    </w:p>
    <w:p w14:paraId="5DDE2269" w14:textId="05027D70" w:rsidR="00EE1EFD" w:rsidRPr="00772966" w:rsidRDefault="003A45B5">
      <w:pPr>
        <w:pStyle w:val="Paragraphedeliste"/>
        <w:numPr>
          <w:ilvl w:val="0"/>
          <w:numId w:val="5"/>
        </w:numPr>
      </w:pPr>
      <w:r w:rsidRPr="00772966">
        <w:lastRenderedPageBreak/>
        <w:t>Valorisation</w:t>
      </w:r>
      <w:r w:rsidR="00EE1EFD" w:rsidRPr="00772966">
        <w:t xml:space="preserve"> </w:t>
      </w:r>
      <w:r w:rsidRPr="00772966">
        <w:t>économique</w:t>
      </w:r>
      <w:r w:rsidR="00EE1EFD" w:rsidRPr="00772966">
        <w:t xml:space="preserve"> des aires </w:t>
      </w:r>
      <w:r w:rsidRPr="00772966">
        <w:t>protégés</w:t>
      </w:r>
      <w:r w:rsidR="00EE1EFD" w:rsidRPr="00772966">
        <w:t xml:space="preserve"> </w:t>
      </w:r>
      <w:r w:rsidR="00305957" w:rsidRPr="00772966">
        <w:t>et mise en place de</w:t>
      </w:r>
      <w:r w:rsidR="00EE1EFD" w:rsidRPr="00772966">
        <w:t xml:space="preserve"> système</w:t>
      </w:r>
      <w:r w:rsidR="00305957" w:rsidRPr="00772966">
        <w:t>s</w:t>
      </w:r>
      <w:r w:rsidR="00EE1EFD" w:rsidRPr="00772966">
        <w:t xml:space="preserve"> de gestion appropri</w:t>
      </w:r>
      <w:r w:rsidR="00305957" w:rsidRPr="00772966">
        <w:t>é</w:t>
      </w:r>
      <w:r w:rsidR="00EE1EFD" w:rsidRPr="00772966">
        <w:t>s dont</w:t>
      </w:r>
      <w:r w:rsidR="00305957" w:rsidRPr="00772966">
        <w:t xml:space="preserve"> les délégations de gestion</w:t>
      </w:r>
      <w:r w:rsidR="00EE1EFD" w:rsidRPr="00772966">
        <w:t xml:space="preserve"> </w:t>
      </w:r>
      <w:r w:rsidR="00305957" w:rsidRPr="00772966">
        <w:t>(</w:t>
      </w:r>
      <w:r w:rsidR="00EE1EFD" w:rsidRPr="00772966">
        <w:t>notamment le PPP</w:t>
      </w:r>
      <w:r w:rsidR="00305957" w:rsidRPr="00772966">
        <w:t>)</w:t>
      </w:r>
      <w:r w:rsidR="00EE1EFD" w:rsidRPr="00772966">
        <w:t xml:space="preserve"> </w:t>
      </w:r>
      <w:r w:rsidRPr="00772966">
        <w:t>là</w:t>
      </w:r>
      <w:r w:rsidR="00EE1EFD" w:rsidRPr="00772966">
        <w:t xml:space="preserve"> </w:t>
      </w:r>
      <w:r w:rsidRPr="00772966">
        <w:t>où</w:t>
      </w:r>
      <w:r w:rsidR="00EE1EFD" w:rsidRPr="00772966">
        <w:t xml:space="preserve"> cela s’</w:t>
      </w:r>
      <w:r w:rsidRPr="00772966">
        <w:t>avère</w:t>
      </w:r>
      <w:r w:rsidR="00EE1EFD" w:rsidRPr="00772966">
        <w:t xml:space="preserve"> possible</w:t>
      </w:r>
      <w:r w:rsidR="00305957" w:rsidRPr="00772966">
        <w:t xml:space="preserve"> et nécessaire ;</w:t>
      </w:r>
    </w:p>
    <w:p w14:paraId="1DECE218" w14:textId="5EB31F50" w:rsidR="00305957" w:rsidRPr="00772966" w:rsidRDefault="00305957">
      <w:pPr>
        <w:pStyle w:val="Paragraphedeliste"/>
        <w:numPr>
          <w:ilvl w:val="0"/>
          <w:numId w:val="5"/>
        </w:numPr>
      </w:pPr>
      <w:r w:rsidRPr="00772966">
        <w:t>E</w:t>
      </w:r>
      <w:r w:rsidR="00EE1EFD" w:rsidRPr="00772966">
        <w:t xml:space="preserve">ngagement politique des Etats et des bailleurs pour activer un plan d’action </w:t>
      </w:r>
      <w:r w:rsidR="003A45B5" w:rsidRPr="00772966">
        <w:t>intérimaire</w:t>
      </w:r>
      <w:r w:rsidR="00EE1EFD" w:rsidRPr="00772966">
        <w:t xml:space="preserve"> </w:t>
      </w:r>
      <w:r w:rsidR="003A45B5" w:rsidRPr="00772966">
        <w:t>d’urgence.</w:t>
      </w:r>
    </w:p>
    <w:p w14:paraId="0F8C7ABE" w14:textId="18C53A7F" w:rsidR="00305957" w:rsidRPr="00772966" w:rsidRDefault="00EE1EFD" w:rsidP="00C36C77">
      <w:pPr>
        <w:pStyle w:val="Paragraphedeliste"/>
        <w:numPr>
          <w:ilvl w:val="0"/>
          <w:numId w:val="5"/>
        </w:numPr>
      </w:pPr>
      <w:r w:rsidRPr="00772966">
        <w:t xml:space="preserve">Identification d’un Chef d’Etat comme porte </w:t>
      </w:r>
      <w:r w:rsidR="003A45B5" w:rsidRPr="00772966">
        <w:t>étendard</w:t>
      </w:r>
      <w:r w:rsidRPr="00772966">
        <w:t xml:space="preserve"> du Plan d’Action et de la </w:t>
      </w:r>
      <w:r w:rsidR="003A45B5" w:rsidRPr="00772966">
        <w:t>Déclaration</w:t>
      </w:r>
      <w:r w:rsidRPr="00772966">
        <w:t xml:space="preserve"> de Ndjamena</w:t>
      </w:r>
    </w:p>
    <w:p w14:paraId="141AF692" w14:textId="7704D5D6" w:rsidR="003A45B5" w:rsidRPr="00772966" w:rsidRDefault="003A45B5" w:rsidP="00C36C77">
      <w:pPr>
        <w:ind w:firstLine="0"/>
        <w:rPr>
          <w:u w:val="single"/>
        </w:rPr>
      </w:pPr>
      <w:r w:rsidRPr="00772966">
        <w:rPr>
          <w:u w:val="single"/>
        </w:rPr>
        <w:t xml:space="preserve">Revue et </w:t>
      </w:r>
      <w:r w:rsidR="00163E7B" w:rsidRPr="00772966">
        <w:rPr>
          <w:u w:val="single"/>
        </w:rPr>
        <w:t>efficacité</w:t>
      </w:r>
      <w:r w:rsidRPr="00772966">
        <w:rPr>
          <w:u w:val="single"/>
        </w:rPr>
        <w:t xml:space="preserve"> </w:t>
      </w:r>
      <w:r w:rsidR="00163E7B" w:rsidRPr="00772966">
        <w:rPr>
          <w:u w:val="single"/>
        </w:rPr>
        <w:t>des accords transfrontaliers</w:t>
      </w:r>
    </w:p>
    <w:p w14:paraId="7182D3B9" w14:textId="093BCA60" w:rsidR="0012643D" w:rsidRPr="00772966" w:rsidRDefault="0012643D" w:rsidP="002E0196">
      <w:pPr>
        <w:pStyle w:val="Paragraphedeliste"/>
        <w:numPr>
          <w:ilvl w:val="0"/>
          <w:numId w:val="7"/>
        </w:numPr>
        <w:jc w:val="left"/>
      </w:pPr>
      <w:r w:rsidRPr="00772966">
        <w:t>Prendre note de la « </w:t>
      </w:r>
      <w:r w:rsidRPr="00772966">
        <w:rPr>
          <w:i/>
        </w:rPr>
        <w:t>Stratégie Africaine sur la lutte contre l'Exploitation Illégale et le Commerce Illicite de la Faune et de la Flore Sauvages en Afrique</w:t>
      </w:r>
      <w:r w:rsidRPr="00772966">
        <w:t xml:space="preserve"> » de l’Union Africaine (UA), à voir la version bilingue sur le lien : </w:t>
      </w:r>
      <w:hyperlink r:id="rId9" w:history="1">
        <w:r w:rsidRPr="00772966">
          <w:rPr>
            <w:rStyle w:val="Lienhypertexte"/>
          </w:rPr>
          <w:t>https://au.int/en/documents/20180207/au-wildlife-strategy</w:t>
        </w:r>
      </w:hyperlink>
      <w:r w:rsidR="002E0196" w:rsidRPr="00772966">
        <w:t xml:space="preserve"> et du PAPECALF (</w:t>
      </w:r>
      <w:r w:rsidR="002E0196" w:rsidRPr="00772966">
        <w:rPr>
          <w:i/>
        </w:rPr>
        <w:t>Plan d'Action sous Régional des Pays de l'Espace COMIFAC pour le Renforcement de l'Application des Législations Nationales sur la Faune Sauvage</w:t>
      </w:r>
      <w:r w:rsidR="002E0196" w:rsidRPr="00772966">
        <w:t>)</w:t>
      </w:r>
      <w:r w:rsidRPr="00772966">
        <w:t xml:space="preserve"> </w:t>
      </w:r>
      <w:r w:rsidR="002E0196" w:rsidRPr="00772966">
        <w:t>de la COMIFAC.</w:t>
      </w:r>
    </w:p>
    <w:p w14:paraId="070C85ED" w14:textId="43015159" w:rsidR="00305957" w:rsidRPr="00772966" w:rsidRDefault="00163E7B" w:rsidP="0012643D">
      <w:pPr>
        <w:pStyle w:val="Paragraphedeliste"/>
        <w:numPr>
          <w:ilvl w:val="0"/>
          <w:numId w:val="7"/>
        </w:numPr>
      </w:pPr>
      <w:r w:rsidRPr="00772966">
        <w:t>Opérationnali</w:t>
      </w:r>
      <w:r w:rsidR="001B15AB" w:rsidRPr="00772966">
        <w:t>ser l</w:t>
      </w:r>
      <w:r w:rsidRPr="00772966">
        <w:t xml:space="preserve">es accords transfrontaliers </w:t>
      </w:r>
      <w:r w:rsidRPr="00772966">
        <w:rPr>
          <w:u w:val="single"/>
        </w:rPr>
        <w:t>PRIORITAIRES</w:t>
      </w:r>
      <w:r w:rsidR="003A45B5" w:rsidRPr="00772966">
        <w:t xml:space="preserve"> pour la LAB et initiation et </w:t>
      </w:r>
      <w:r w:rsidRPr="00772966">
        <w:t>établissement</w:t>
      </w:r>
      <w:r w:rsidR="003A45B5" w:rsidRPr="00772966">
        <w:t xml:space="preserve"> </w:t>
      </w:r>
      <w:r w:rsidRPr="00772966">
        <w:t>des accords</w:t>
      </w:r>
      <w:r w:rsidR="003A45B5" w:rsidRPr="00772966">
        <w:t xml:space="preserve"> pour d’autres </w:t>
      </w:r>
      <w:r w:rsidRPr="00772966">
        <w:t>zones transfrontalières</w:t>
      </w:r>
      <w:r w:rsidR="003A45B5" w:rsidRPr="00772966">
        <w:t xml:space="preserve"> ; </w:t>
      </w:r>
      <w:r w:rsidRPr="00772966">
        <w:t>particulièrement</w:t>
      </w:r>
      <w:r w:rsidR="003A45B5" w:rsidRPr="00772966">
        <w:t xml:space="preserve"> entre le pays Afrique Equatoriale et la zone CEDEAO ainsi que de l’IGAD</w:t>
      </w:r>
      <w:r w:rsidR="0012643D" w:rsidRPr="00772966">
        <w:t>,)</w:t>
      </w:r>
      <w:r w:rsidR="003A45B5" w:rsidRPr="00772966">
        <w:t>. A noter que la question des accords transfrontaliers s’</w:t>
      </w:r>
      <w:r w:rsidRPr="00772966">
        <w:t>avère</w:t>
      </w:r>
      <w:r w:rsidR="003A45B5" w:rsidRPr="00772966">
        <w:t xml:space="preserve"> aussi </w:t>
      </w:r>
      <w:r w:rsidRPr="00772966">
        <w:t>nécessaire</w:t>
      </w:r>
      <w:r w:rsidR="003A45B5" w:rsidRPr="00772966">
        <w:t xml:space="preserve"> pour la gestion de la transhumance dans la </w:t>
      </w:r>
      <w:r w:rsidRPr="00772966">
        <w:t>sous-région</w:t>
      </w:r>
      <w:r w:rsidR="000F5BAE" w:rsidRPr="00772966">
        <w:t> ;</w:t>
      </w:r>
    </w:p>
    <w:p w14:paraId="5AA3C365" w14:textId="49C15CE4" w:rsidR="00305957" w:rsidRPr="00772966" w:rsidRDefault="000F5BAE" w:rsidP="0051272A">
      <w:pPr>
        <w:pStyle w:val="Paragraphedeliste"/>
        <w:numPr>
          <w:ilvl w:val="0"/>
          <w:numId w:val="7"/>
        </w:numPr>
      </w:pPr>
      <w:r w:rsidRPr="00772966">
        <w:t>Développer des cadres de conciliation entre les accords transfrontaliers étatiques et les accords socio-économiques traditionnels existants entre certaines populations d’agriculteurs et d’éleveurs transhumants ;</w:t>
      </w:r>
    </w:p>
    <w:p w14:paraId="057ED837" w14:textId="254F5F97" w:rsidR="000F5BAE" w:rsidRPr="00772966" w:rsidRDefault="001B15AB">
      <w:pPr>
        <w:pStyle w:val="Paragraphedeliste"/>
        <w:numPr>
          <w:ilvl w:val="0"/>
          <w:numId w:val="7"/>
        </w:numPr>
      </w:pPr>
      <w:r w:rsidRPr="00772966">
        <w:t>Identifier et m</w:t>
      </w:r>
      <w:r w:rsidR="000F5BAE" w:rsidRPr="00772966">
        <w:t>andater une institution régionale pour le suivi de la mise en œuvre de ces accords transfrontaliers.</w:t>
      </w:r>
    </w:p>
    <w:p w14:paraId="5B8EDE47" w14:textId="17339F54" w:rsidR="00821C92" w:rsidRPr="00772966" w:rsidRDefault="00821C92">
      <w:pPr>
        <w:pStyle w:val="Paragraphedeliste"/>
        <w:numPr>
          <w:ilvl w:val="0"/>
          <w:numId w:val="7"/>
        </w:numPr>
      </w:pPr>
      <w:r w:rsidRPr="00772966">
        <w:t>Appuyer les méthodes de coopération transfrontalière pour lutter contre la criminalité faunique</w:t>
      </w:r>
      <w:r w:rsidRPr="00772966">
        <w:rPr>
          <w:rStyle w:val="tlid-translation"/>
        </w:rPr>
        <w:t xml:space="preserve"> et </w:t>
      </w:r>
      <w:r w:rsidRPr="00772966">
        <w:t>le commerce illicite d'espèces de faune et de flore menacées d'extinction (à voir: AFRICA-TWIX).</w:t>
      </w:r>
    </w:p>
    <w:p w14:paraId="54C4B45D" w14:textId="77777777" w:rsidR="00D7067B" w:rsidRPr="00772966" w:rsidRDefault="00163E7B" w:rsidP="00C36C77">
      <w:pPr>
        <w:ind w:firstLine="0"/>
        <w:rPr>
          <w:u w:val="single"/>
        </w:rPr>
      </w:pPr>
      <w:r w:rsidRPr="00772966">
        <w:rPr>
          <w:u w:val="single"/>
        </w:rPr>
        <w:t>Financement nécessaire au Plan d’Action de Ndjamena et suivi</w:t>
      </w:r>
    </w:p>
    <w:p w14:paraId="1948399E" w14:textId="6B78B4C9" w:rsidR="00163E7B" w:rsidRPr="00772966" w:rsidRDefault="00163E7B" w:rsidP="0051272A">
      <w:pPr>
        <w:pStyle w:val="Paragraphedeliste"/>
        <w:numPr>
          <w:ilvl w:val="0"/>
          <w:numId w:val="7"/>
        </w:numPr>
      </w:pPr>
      <w:r w:rsidRPr="00772966">
        <w:t>Sécuriser l’adhésion et l’appui des bailleurs pour la mise en œuvre à court terme d’un plan d’action intérimaire d’urgence de la Déclaration de Ndjamena</w:t>
      </w:r>
      <w:r w:rsidR="000F5BAE" w:rsidRPr="00772966">
        <w:t> ;</w:t>
      </w:r>
    </w:p>
    <w:p w14:paraId="10BC62EE" w14:textId="087F618C" w:rsidR="001B15AB" w:rsidRPr="00772966" w:rsidRDefault="001B15AB">
      <w:pPr>
        <w:pStyle w:val="Paragraphedeliste"/>
        <w:numPr>
          <w:ilvl w:val="0"/>
          <w:numId w:val="7"/>
        </w:numPr>
      </w:pPr>
      <w:r w:rsidRPr="00772966">
        <w:t>Assurer l’adhésion des Etats concernés à la mise en place de ce plan d’action ;</w:t>
      </w:r>
    </w:p>
    <w:p w14:paraId="7723A05D" w14:textId="3B796D41" w:rsidR="00287FCE" w:rsidRPr="00772966" w:rsidRDefault="00163E7B" w:rsidP="00C36C77">
      <w:pPr>
        <w:pStyle w:val="Paragraphedeliste"/>
        <w:numPr>
          <w:ilvl w:val="0"/>
          <w:numId w:val="7"/>
        </w:numPr>
      </w:pPr>
      <w:r w:rsidRPr="00772966">
        <w:t>M</w:t>
      </w:r>
      <w:r w:rsidR="001B15AB" w:rsidRPr="00772966">
        <w:t>ettre</w:t>
      </w:r>
      <w:r w:rsidRPr="00772966">
        <w:t xml:space="preserve"> en place d’un Task Force sous l’égide du PFBC</w:t>
      </w:r>
      <w:r w:rsidR="001B15AB" w:rsidRPr="00772966">
        <w:t>.</w:t>
      </w:r>
    </w:p>
    <w:p w14:paraId="5118FCCC" w14:textId="37EF68F5" w:rsidR="00C071B0" w:rsidRDefault="00C071B0" w:rsidP="00C071B0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sectPr w:rsidR="00C071B0" w:rsidSect="00C36C77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0C8C63C" w14:textId="77777777" w:rsidR="00555231" w:rsidRDefault="00555231" w:rsidP="003F56E3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</w:rPr>
      </w:pPr>
    </w:p>
    <w:p w14:paraId="3496E992" w14:textId="1F823BD5" w:rsidR="003F56E3" w:rsidRPr="003F56E3" w:rsidRDefault="005130CF" w:rsidP="003F56E3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val="fr-CD" w:eastAsia="en-US"/>
        </w:rPr>
      </w:pPr>
      <w:r>
        <w:rPr>
          <w:b/>
        </w:rPr>
        <w:t>Examen des r</w:t>
      </w:r>
      <w:r w:rsidR="007B69B9" w:rsidRPr="00C36C77">
        <w:rPr>
          <w:b/>
        </w:rPr>
        <w:t xml:space="preserve">ecommandations </w:t>
      </w:r>
      <w:r>
        <w:rPr>
          <w:b/>
        </w:rPr>
        <w:t>spécifiques</w:t>
      </w:r>
    </w:p>
    <w:tbl>
      <w:tblPr>
        <w:tblW w:w="161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3870"/>
        <w:gridCol w:w="3240"/>
        <w:gridCol w:w="3420"/>
        <w:gridCol w:w="2476"/>
        <w:gridCol w:w="13"/>
        <w:gridCol w:w="979"/>
        <w:gridCol w:w="13"/>
      </w:tblGrid>
      <w:tr w:rsidR="00F62EB0" w:rsidRPr="00F62EB0" w14:paraId="06C692BE" w14:textId="77777777" w:rsidTr="00BA413D">
        <w:trPr>
          <w:trHeight w:val="300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DBE075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>Scope géographique</w:t>
            </w:r>
          </w:p>
        </w:tc>
        <w:tc>
          <w:tcPr>
            <w:tcW w:w="130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3EAA83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>Scope thématique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2064C4" w14:textId="77777777" w:rsidR="00F62EB0" w:rsidRPr="00F62EB0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fr-CD" w:eastAsia="fr-CD"/>
              </w:rPr>
            </w:pPr>
            <w:r w:rsidRPr="00F62EB0">
              <w:rPr>
                <w:b/>
                <w:bCs/>
                <w:lang w:eastAsia="fr-CD"/>
              </w:rPr>
              <w:t>Lead</w:t>
            </w:r>
          </w:p>
        </w:tc>
      </w:tr>
      <w:tr w:rsidR="00F62EB0" w:rsidRPr="00F62EB0" w14:paraId="3EE77A77" w14:textId="77777777" w:rsidTr="00BA413D">
        <w:trPr>
          <w:gridAfter w:val="1"/>
          <w:wAfter w:w="13" w:type="dxa"/>
          <w:trHeight w:val="1000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826D8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sz w:val="22"/>
                <w:szCs w:val="22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6D933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>Transhumance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76439" w14:textId="467F235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 xml:space="preserve">Gestion </w:t>
            </w:r>
            <w:r w:rsidR="00C36C77" w:rsidRPr="00C36C77">
              <w:rPr>
                <w:b/>
                <w:bCs/>
                <w:sz w:val="22"/>
                <w:szCs w:val="22"/>
                <w:lang w:eastAsia="fr-CD"/>
              </w:rPr>
              <w:t>APS</w:t>
            </w:r>
            <w:r w:rsidRPr="00C36C77">
              <w:rPr>
                <w:b/>
                <w:bCs/>
                <w:sz w:val="22"/>
                <w:szCs w:val="22"/>
                <w:lang w:eastAsia="fr-CD"/>
              </w:rPr>
              <w:t xml:space="preserve"> et périphéries / Sécurité-LAB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CD1B9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>Développement économique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967915" w14:textId="77777777" w:rsidR="00F62EB0" w:rsidRPr="00C36C77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sz w:val="22"/>
                <w:szCs w:val="22"/>
                <w:lang w:val="fr-CD" w:eastAsia="fr-CD"/>
              </w:rPr>
            </w:pPr>
            <w:r w:rsidRPr="00C36C77">
              <w:rPr>
                <w:b/>
                <w:bCs/>
                <w:sz w:val="22"/>
                <w:szCs w:val="22"/>
                <w:lang w:eastAsia="fr-CD"/>
              </w:rPr>
              <w:t>Collaboration transfrontalières et suivi des accords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AFCA0F" w14:textId="77777777" w:rsidR="00F62EB0" w:rsidRPr="00F62EB0" w:rsidRDefault="00F62EB0" w:rsidP="00F62EB0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lang w:val="fr-CD" w:eastAsia="fr-CD"/>
              </w:rPr>
            </w:pPr>
          </w:p>
        </w:tc>
      </w:tr>
    </w:tbl>
    <w:p w14:paraId="1120B8D2" w14:textId="77777777" w:rsidR="00C071B0" w:rsidRPr="00C36C77" w:rsidRDefault="00C071B0" w:rsidP="00C36C77">
      <w:pPr>
        <w:ind w:left="-567" w:firstLine="0"/>
        <w:rPr>
          <w:lang w:val="fr-CD"/>
        </w:rPr>
      </w:pPr>
    </w:p>
    <w:p w14:paraId="242C0C40" w14:textId="1C5BC4A9" w:rsidR="004204B5" w:rsidRDefault="004204B5" w:rsidP="004204B5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</w:pPr>
    </w:p>
    <w:p w14:paraId="239EBB47" w14:textId="77777777" w:rsidR="00C071B0" w:rsidRDefault="00C071B0" w:rsidP="004204B5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tbl>
      <w:tblPr>
        <w:tblW w:w="1601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3870"/>
        <w:gridCol w:w="3260"/>
        <w:gridCol w:w="3402"/>
        <w:gridCol w:w="3260"/>
        <w:gridCol w:w="993"/>
      </w:tblGrid>
      <w:tr w:rsidR="004204B5" w:rsidRPr="004204B5" w14:paraId="63C565A8" w14:textId="77777777" w:rsidTr="00C36C77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8503D" w14:textId="16B8470C" w:rsidR="004204B5" w:rsidRPr="004204B5" w:rsidRDefault="004204B5" w:rsidP="009F7728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/>
                <w:lang w:val="fr-CD" w:eastAsia="fr-CD"/>
              </w:rPr>
            </w:pPr>
            <w:r w:rsidRPr="004204B5">
              <w:rPr>
                <w:b/>
                <w:bCs/>
                <w:color w:val="000000"/>
                <w:lang w:val="fr-CD" w:eastAsia="fr-CD"/>
              </w:rPr>
              <w:t xml:space="preserve">Bloc </w:t>
            </w:r>
            <w:r w:rsidR="009F7728">
              <w:rPr>
                <w:b/>
                <w:bCs/>
                <w:color w:val="000000"/>
                <w:lang w:val="fr-CD" w:eastAsia="fr-CD"/>
              </w:rPr>
              <w:t>Soudan</w:t>
            </w:r>
            <w:r w:rsidRPr="004204B5">
              <w:rPr>
                <w:b/>
                <w:bCs/>
                <w:color w:val="000000"/>
                <w:lang w:val="fr-CD" w:eastAsia="fr-CD"/>
              </w:rPr>
              <w:t xml:space="preserve"> -Tchad - RCA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83FEC" w14:textId="77777777" w:rsidR="009F7728" w:rsidRPr="00BA413D" w:rsidRDefault="004204B5" w:rsidP="009F7728">
            <w:pPr>
              <w:spacing w:after="0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</w:t>
            </w:r>
            <w:r w:rsidR="009F7728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Identifier, matérialiser et sécuriser les couloirs de transhumance en déhors des aires protégées.</w:t>
            </w:r>
          </w:p>
          <w:p w14:paraId="0ACA0734" w14:textId="368A5CE5" w:rsid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03830A45" w14:textId="77777777" w:rsidR="009F7728" w:rsidRDefault="009F7728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550B00A9" w14:textId="77777777" w:rsidR="009F7728" w:rsidRPr="00C36C77" w:rsidRDefault="009F7728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53EB2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 Professionnalisation / renforcement de la LAB en terme de formation des unités spéciales de LAB qui seront à même de faire face aux braconniers aussi bien locaux que transfrontaliers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242840" w14:textId="5381797E" w:rsidR="00A91437" w:rsidRPr="00BA413D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FFFFFF" w:themeColor="background1"/>
                <w:sz w:val="20"/>
                <w:szCs w:val="20"/>
                <w:lang w:eastAsia="fr-CD"/>
              </w:rPr>
            </w:pPr>
            <w:r w:rsidRPr="00BA413D">
              <w:rPr>
                <w:rFonts w:ascii="Wingdings" w:hAnsi="Wingdings" w:cs="Calibri"/>
                <w:color w:val="FFFFFF" w:themeColor="background1"/>
                <w:sz w:val="20"/>
                <w:szCs w:val="20"/>
                <w:highlight w:val="lightGray"/>
                <w:lang w:eastAsia="fr-CD"/>
              </w:rPr>
              <w:t></w:t>
            </w:r>
            <w:r w:rsidR="00A91437" w:rsidRPr="00BA413D">
              <w:rPr>
                <w:color w:val="FFFFFF" w:themeColor="background1"/>
                <w:sz w:val="20"/>
                <w:szCs w:val="20"/>
                <w:highlight w:val="lightGray"/>
                <w:lang w:eastAsia="fr-CD"/>
              </w:rPr>
              <w:t xml:space="preserve"> Promouvoir la gestion concertée des ressources naturelles</w:t>
            </w:r>
            <w:r w:rsidR="00674243">
              <w:rPr>
                <w:color w:val="FFFFFF" w:themeColor="background1"/>
                <w:sz w:val="20"/>
                <w:szCs w:val="20"/>
                <w:lang w:eastAsia="fr-CD"/>
              </w:rPr>
              <w:t xml:space="preserve"> avec les </w:t>
            </w:r>
            <w:proofErr w:type="spellStart"/>
            <w:r w:rsidR="00674243">
              <w:rPr>
                <w:color w:val="FFFFFF" w:themeColor="background1"/>
                <w:sz w:val="20"/>
                <w:szCs w:val="20"/>
                <w:lang w:eastAsia="fr-CD"/>
              </w:rPr>
              <w:t>communautes</w:t>
            </w:r>
            <w:proofErr w:type="spellEnd"/>
            <w:r w:rsidR="00674243">
              <w:rPr>
                <w:color w:val="FFFFFF" w:themeColor="background1"/>
                <w:sz w:val="20"/>
                <w:szCs w:val="20"/>
                <w:lang w:eastAsia="fr-CD"/>
              </w:rPr>
              <w:t xml:space="preserve"> locales et les transhumants.</w:t>
            </w:r>
          </w:p>
          <w:p w14:paraId="196DEC87" w14:textId="77777777" w:rsidR="00A9143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color w:val="000000"/>
                <w:sz w:val="20"/>
                <w:szCs w:val="20"/>
                <w:lang w:eastAsia="fr-CD"/>
              </w:rPr>
              <w:t> </w:t>
            </w:r>
          </w:p>
          <w:p w14:paraId="09E2EA57" w14:textId="159CFC8D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Mise en place des mesures de valorisation des AP 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et zone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t>peripheriques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dans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de l’espace d’assise de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t>un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’Accord</w:t>
            </w:r>
            <w:proofErr w:type="spellEnd"/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t>Bilateral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(Tchad-RCA)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et de développement durable pour le bien-être  des populations riveraines.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D1FF84" w14:textId="229E355C" w:rsidR="004204B5" w:rsidRDefault="004204B5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Augmenter les fréquences des consultations des parties </w:t>
            </w:r>
            <w:r w:rsidR="002C4EF4" w:rsidRPr="002C4EF4">
              <w:rPr>
                <w:color w:val="000000"/>
                <w:sz w:val="20"/>
                <w:szCs w:val="20"/>
                <w:lang w:eastAsia="fr-CD"/>
              </w:rPr>
              <w:t xml:space="preserve">à l’Accord AT-LAB (Cameroun-Tchad-RCA)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et y intégrer </w:t>
            </w:r>
            <w:r w:rsidR="00C36C77" w:rsidRPr="00C36C77">
              <w:rPr>
                <w:color w:val="000000"/>
                <w:sz w:val="20"/>
                <w:szCs w:val="20"/>
                <w:lang w:eastAsia="fr-CD"/>
              </w:rPr>
              <w:t>les aspects relatifs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à l’Eco-sécurité et de gestion </w:t>
            </w:r>
            <w:r w:rsidR="00C36C77" w:rsidRPr="00C36C77">
              <w:rPr>
                <w:color w:val="000000"/>
                <w:sz w:val="20"/>
                <w:szCs w:val="20"/>
                <w:lang w:eastAsia="fr-CD"/>
              </w:rPr>
              <w:t>des conflits liés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à l’utilisation des ressources.</w:t>
            </w:r>
          </w:p>
          <w:p w14:paraId="7E4455B9" w14:textId="77777777" w:rsidR="002C4EF4" w:rsidRDefault="002C4EF4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5F8FB481" w14:textId="21DAEE0E" w:rsidR="00CE7333" w:rsidRDefault="002C4EF4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160" w:afterAutospacing="0" w:line="259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Etablir </w:t>
            </w:r>
            <w:proofErr w:type="spellStart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un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accords</w:t>
            </w:r>
            <w:proofErr w:type="spellEnd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bi</w:t>
            </w:r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-national</w:t>
            </w:r>
            <w:proofErr w:type="spellEnd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entre le Tchad (Grand </w:t>
            </w:r>
            <w:proofErr w:type="spellStart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Zakouma</w:t>
            </w:r>
            <w:proofErr w:type="spellEnd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) et RCA (</w:t>
            </w:r>
            <w:proofErr w:type="spellStart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Nord_Est</w:t>
            </w:r>
            <w:proofErr w:type="spellEnd"/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) pour la 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gestion </w:t>
            </w:r>
            <w:proofErr w:type="spellStart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transfrontalier</w:t>
            </w:r>
            <w:r w:rsidR="008E7D4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</w:t>
            </w:r>
            <w:proofErr w:type="spellEnd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des aires protégées</w:t>
            </w:r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, couloirs, et interzones.</w:t>
            </w:r>
          </w:p>
          <w:p w14:paraId="43F0F964" w14:textId="75803163" w:rsidR="002C4EF4" w:rsidRPr="00BA413D" w:rsidRDefault="00863125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160" w:afterAutospacing="0" w:line="259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Etablir et </w:t>
            </w:r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mettre en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œuvre </w:t>
            </w:r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un accord AT-LAB entre le Tchad-S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o</w:t>
            </w:r>
            <w:r w:rsidR="00CE733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udan-RCA.</w:t>
            </w:r>
          </w:p>
          <w:p w14:paraId="6144BD82" w14:textId="743AAAA0" w:rsidR="002C4EF4" w:rsidRPr="00C36C77" w:rsidRDefault="002C4EF4" w:rsidP="00CE7333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2C4EF4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2C4EF4">
              <w:rPr>
                <w:color w:val="000000"/>
                <w:sz w:val="20"/>
                <w:szCs w:val="20"/>
                <w:lang w:eastAsia="fr-CD"/>
              </w:rPr>
              <w:t xml:space="preserve">  Mise en place des Organes  suprêmes de Décision des Accords Bi </w:t>
            </w:r>
            <w:r w:rsidRPr="002C4EF4">
              <w:rPr>
                <w:color w:val="000000"/>
                <w:sz w:val="20"/>
                <w:szCs w:val="20"/>
                <w:lang w:eastAsia="fr-CD"/>
              </w:rPr>
              <w:lastRenderedPageBreak/>
              <w:t>et Tri-national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FD05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lastRenderedPageBreak/>
              <w:t> </w:t>
            </w:r>
          </w:p>
        </w:tc>
      </w:tr>
      <w:tr w:rsidR="004204B5" w:rsidRPr="004204B5" w14:paraId="3FC633D1" w14:textId="77777777" w:rsidTr="00BA413D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CAC1" w14:textId="270CB0D3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06515" w14:textId="77777777" w:rsidR="009F7728" w:rsidRPr="00BA413D" w:rsidRDefault="004204B5" w:rsidP="009F7728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</w:t>
            </w:r>
            <w:r w:rsidR="009F7728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Appuyer la mise en place de mecanismes de securisation des corridors de transhumances, d’amenagement des paturages et des points d’eau.</w:t>
            </w:r>
          </w:p>
          <w:p w14:paraId="60801D7E" w14:textId="43F019AD" w:rsidR="009F7728" w:rsidRPr="00BA413D" w:rsidRDefault="009F7728" w:rsidP="00BA413D">
            <w:pPr>
              <w:ind w:firstLine="0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0C441719" w14:textId="3761C40A" w:rsidR="009F7728" w:rsidRPr="00C36C77" w:rsidRDefault="009F7728" w:rsidP="009F7728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6CA6A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FE0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C225BE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CEF4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298C94B2" w14:textId="77777777" w:rsidTr="00BA413D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B636" w14:textId="2092A5FB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114E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CA3B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42D4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AAF8F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D40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48ED03A9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13D52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A1F4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873A8" w14:textId="538E6E38" w:rsidR="0059629E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 w:rsidR="0059629E" w:rsidRPr="0059629E">
              <w:rPr>
                <w:color w:val="000000"/>
                <w:sz w:val="20"/>
                <w:szCs w:val="20"/>
                <w:lang w:eastAsia="fr-CD"/>
              </w:rPr>
              <w:t>Sécuriser et faire respecter les limites et l’intégrité des aires protégées</w:t>
            </w:r>
          </w:p>
          <w:p w14:paraId="6D5AD7E1" w14:textId="77777777" w:rsidR="0059629E" w:rsidRDefault="0059629E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045F7C68" w14:textId="3CAA7558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546E" w14:textId="17E5C516" w:rsidR="004204B5" w:rsidRPr="00C36C77" w:rsidRDefault="004204B5" w:rsidP="00BD5737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Restaurer, aménager et sécuriser les zones de pâturage 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>pour diminuer la pression sur les aires prot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>é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>g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>é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>es et zones prioritaire</w:t>
            </w:r>
            <w:r w:rsidR="008E7D43">
              <w:rPr>
                <w:color w:val="000000"/>
                <w:sz w:val="20"/>
                <w:szCs w:val="20"/>
                <w:lang w:eastAsia="fr-CD"/>
              </w:rPr>
              <w:t>s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pour la conservation.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7F813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Renforcer les services centraux et déconcentrés des Etats concernés en termes de  collaboration /renseignement et alerte entre les services en charge de l’administration forestière et de l’application des lois.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AAE6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39497FBB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23686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713C0" w14:textId="764A0D86" w:rsidR="004204B5" w:rsidRDefault="004204B5" w:rsidP="009F7728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 Encadre</w:t>
            </w:r>
            <w:r w:rsidR="009F7728">
              <w:rPr>
                <w:color w:val="000000"/>
                <w:sz w:val="20"/>
                <w:szCs w:val="20"/>
                <w:lang w:eastAsia="fr-CD"/>
              </w:rPr>
              <w:t>r et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sécuri</w:t>
            </w:r>
            <w:r w:rsidR="009F7728">
              <w:rPr>
                <w:color w:val="000000"/>
                <w:sz w:val="20"/>
                <w:szCs w:val="20"/>
                <w:lang w:eastAsia="fr-CD"/>
              </w:rPr>
              <w:t>ser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 w:rsidR="009F7728">
              <w:rPr>
                <w:color w:val="000000"/>
                <w:sz w:val="20"/>
                <w:szCs w:val="20"/>
                <w:lang w:eastAsia="fr-CD"/>
              </w:rPr>
              <w:t>l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es corridors des transhumances (escorte) et contrôle transfrontalier des groupes transhumants</w:t>
            </w:r>
            <w:r w:rsidR="00A23391">
              <w:rPr>
                <w:color w:val="000000"/>
                <w:sz w:val="20"/>
                <w:szCs w:val="20"/>
                <w:lang w:eastAsia="fr-CD"/>
              </w:rPr>
              <w:t>, avec l’implication</w:t>
            </w:r>
            <w:r w:rsidR="00F451E4">
              <w:rPr>
                <w:color w:val="000000"/>
                <w:sz w:val="20"/>
                <w:szCs w:val="20"/>
                <w:lang w:eastAsia="fr-CD"/>
              </w:rPr>
              <w:t xml:space="preserve"> des 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>ministères</w:t>
            </w:r>
            <w:r w:rsidR="00F451E4">
              <w:rPr>
                <w:color w:val="000000"/>
                <w:sz w:val="20"/>
                <w:szCs w:val="20"/>
                <w:lang w:eastAsia="fr-CD"/>
              </w:rPr>
              <w:t xml:space="preserve"> de la 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>défense</w:t>
            </w:r>
            <w:r w:rsidR="00F451E4">
              <w:rPr>
                <w:color w:val="000000"/>
                <w:sz w:val="20"/>
                <w:szCs w:val="20"/>
                <w:lang w:eastAsia="fr-CD"/>
              </w:rPr>
              <w:t xml:space="preserve"> et de</w:t>
            </w:r>
            <w:r w:rsidR="00A23391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 w:rsidR="009F7728">
              <w:rPr>
                <w:color w:val="000000"/>
                <w:sz w:val="20"/>
                <w:szCs w:val="20"/>
                <w:lang w:eastAsia="fr-CD"/>
              </w:rPr>
              <w:t xml:space="preserve"> la MINUSCA dans les opérations de sécurisation et d’escorte.</w:t>
            </w:r>
          </w:p>
          <w:p w14:paraId="555D6103" w14:textId="77777777" w:rsidR="0059629E" w:rsidRDefault="0059629E" w:rsidP="009F7728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5E9E26CC" w14:textId="1444F334" w:rsidR="0059629E" w:rsidRDefault="0059629E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59629E">
              <w:rPr>
                <w:color w:val="000000"/>
                <w:sz w:val="20"/>
                <w:szCs w:val="20"/>
                <w:lang w:eastAsia="fr-CD"/>
              </w:rPr>
              <w:t>Former et sensibiliser les organisations pastorales dans le domaine de la gestion durable des ressources naturelles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 w:rsidR="00220B03">
              <w:rPr>
                <w:color w:val="000000"/>
                <w:sz w:val="20"/>
                <w:szCs w:val="20"/>
                <w:lang w:eastAsia="fr-CD"/>
              </w:rPr>
              <w:t xml:space="preserve">et 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 xml:space="preserve">de </w:t>
            </w:r>
            <w:r w:rsidR="00220B03">
              <w:rPr>
                <w:color w:val="000000"/>
                <w:sz w:val="20"/>
                <w:szCs w:val="20"/>
                <w:lang w:eastAsia="fr-CD"/>
              </w:rPr>
              <w:t>la conservation.</w:t>
            </w:r>
          </w:p>
          <w:p w14:paraId="74433E5E" w14:textId="77777777" w:rsidR="0059629E" w:rsidRDefault="0059629E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1BD908B6" w14:textId="461F602D" w:rsidR="0059629E" w:rsidRPr="0059629E" w:rsidRDefault="0059629E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59629E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59629E">
              <w:rPr>
                <w:color w:val="000000"/>
                <w:sz w:val="20"/>
                <w:szCs w:val="20"/>
                <w:lang w:eastAsia="fr-CD"/>
              </w:rPr>
              <w:t xml:space="preserve">  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Favoriser la mise en place de plateformes pluri</w:t>
            </w:r>
            <w:r w:rsidR="008A2393" w:rsidRPr="008A239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sectorielles au niveau national et </w:t>
            </w:r>
            <w:proofErr w:type="spellStart"/>
            <w:r w:rsidR="008A2393" w:rsidRPr="008A239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regional</w:t>
            </w:r>
            <w:proofErr w:type="spellEnd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A239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en vue du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respect des couloirs </w:t>
            </w:r>
            <w:r w:rsidR="008A239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de migration,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8A239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des 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aires </w:t>
            </w:r>
            <w:proofErr w:type="spellStart"/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protegees</w:t>
            </w:r>
            <w:proofErr w:type="spellEnd"/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,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securisation</w:t>
            </w:r>
            <w:proofErr w:type="spellEnd"/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de la mobilite pastorale</w:t>
            </w:r>
            <w:r w:rsidRPr="0059629E">
              <w:rPr>
                <w:color w:val="000000"/>
                <w:sz w:val="20"/>
                <w:szCs w:val="20"/>
                <w:lang w:eastAsia="fr-CD"/>
              </w:rPr>
              <w:t xml:space="preserve"> et de prévention de la criminalité.</w:t>
            </w:r>
          </w:p>
          <w:p w14:paraId="702FF479" w14:textId="77777777" w:rsidR="0059629E" w:rsidRPr="0059629E" w:rsidRDefault="0059629E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52BC8951" w14:textId="33BD2A2B" w:rsidR="0059629E" w:rsidRDefault="0059629E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Mettre en place des plateformes locales entre eleveurs-conservation-agriculteur</w:t>
            </w:r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pour des actions concertées 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pour la gestion de res</w:t>
            </w:r>
            <w:r w:rsidR="00F451E4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ources naturelles et conservation des aires </w:t>
            </w:r>
            <w:proofErr w:type="spellStart"/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prot</w:t>
            </w:r>
            <w:r w:rsidR="00F451E4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é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eg</w:t>
            </w:r>
            <w:r w:rsidR="00F451E4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é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es</w:t>
            </w:r>
            <w:proofErr w:type="spellEnd"/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, et lutte </w:t>
            </w:r>
            <w:r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contre le braconnage et la criminalité</w:t>
            </w:r>
            <w:r w:rsidR="007368D3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  <w:p w14:paraId="09B0B1FE" w14:textId="77777777" w:rsidR="00CE7333" w:rsidRDefault="00CE7333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AA9061C" w14:textId="6B4F1F19" w:rsidR="00CE7333" w:rsidRPr="00BA413D" w:rsidRDefault="00CE7333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Mettre en place les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mecanismes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et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cooperations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formelle entre les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lastRenderedPageBreak/>
              <w:t>Ministeres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chargees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des Aire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Protegees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Ministeres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d’Elevage et Organi</w:t>
            </w:r>
            <w:r w:rsidR="005130CF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ation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represtant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les </w:t>
            </w:r>
            <w:r w:rsidR="005130CF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éleveurs transhumants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  <w:p w14:paraId="1F6A0ED2" w14:textId="77777777" w:rsidR="00A91437" w:rsidRPr="00BA413D" w:rsidRDefault="00A91437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42C75D7D" w14:textId="5568F34C" w:rsidR="00A91437" w:rsidRDefault="007368D3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Entrependre</w:t>
            </w:r>
            <w:proofErr w:type="spellEnd"/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des études visant à catégoriser les </w:t>
            </w:r>
            <w:proofErr w:type="spellStart"/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les</w:t>
            </w:r>
            <w:proofErr w:type="spellEnd"/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différentes formes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de transhumance ainsi que leur importance </w:t>
            </w:r>
            <w:proofErr w:type="spellStart"/>
            <w:r w:rsidR="00A91437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socioeconomique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a identifier les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strategies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approprie</w:t>
            </w:r>
            <w:r w:rsidR="003C5C90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pour les engager dans la gestion de ressources naturelles.</w:t>
            </w:r>
          </w:p>
          <w:p w14:paraId="4F76AFB4" w14:textId="77777777" w:rsidR="00A23391" w:rsidRDefault="00A23391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73F6662" w14:textId="364A9622" w:rsidR="00A23391" w:rsidRDefault="007368D3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Dans le cadre de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partneriat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securite-conservaiton-development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, f</w:t>
            </w:r>
            <w:r w:rsidR="00A23391" w:rsidRPr="00BA413D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aciliter l’accès aux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marches pour les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eleveurs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qui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cooperent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effectivement dans l</w:t>
            </w:r>
            <w:r w:rsidR="00730DC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partenariats.</w:t>
            </w:r>
          </w:p>
          <w:p w14:paraId="74F839D1" w14:textId="77777777" w:rsidR="00730DCB" w:rsidRDefault="00730DCB" w:rsidP="0059629E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AE27B23" w14:textId="1E4FA7CF" w:rsidR="0059629E" w:rsidRPr="00C36C77" w:rsidRDefault="0059629E" w:rsidP="00772966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AB9F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E1BAB" w14:textId="6147F109" w:rsidR="004204B5" w:rsidRPr="00C36C77" w:rsidRDefault="004204B5" w:rsidP="0086312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Développer un plan 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pour 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orienter 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l’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>élevage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en respects des plans de gestion des terres de la zone afin d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>’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>assurer la gestion d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>urable des aires prot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>é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>g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>é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 xml:space="preserve">es et </w:t>
            </w:r>
            <w:r w:rsidR="00BD5737">
              <w:rPr>
                <w:color w:val="000000"/>
                <w:sz w:val="20"/>
                <w:szCs w:val="20"/>
                <w:lang w:eastAsia="fr-CD"/>
              </w:rPr>
              <w:t xml:space="preserve">des </w:t>
            </w:r>
            <w:proofErr w:type="spellStart"/>
            <w:r w:rsidR="00CE7333">
              <w:rPr>
                <w:color w:val="000000"/>
                <w:sz w:val="20"/>
                <w:szCs w:val="20"/>
                <w:lang w:eastAsia="fr-CD"/>
              </w:rPr>
              <w:t>paturages</w:t>
            </w:r>
            <w:proofErr w:type="spellEnd"/>
            <w:r w:rsidR="00CE7333">
              <w:rPr>
                <w:color w:val="000000"/>
                <w:sz w:val="20"/>
                <w:szCs w:val="20"/>
                <w:lang w:eastAsia="fr-CD"/>
              </w:rPr>
              <w:t xml:space="preserve">  (y compris 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la promotion de l’élevage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semi-intensif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>)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8333B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23C8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19C29F34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5FD9B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EF788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D6B04" w14:textId="1FF6C907" w:rsid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</w:t>
            </w:r>
          </w:p>
          <w:p w14:paraId="664C6E96" w14:textId="584933BB" w:rsidR="00863125" w:rsidRDefault="001E74D9" w:rsidP="007368D3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>
              <w:rPr>
                <w:color w:val="000000"/>
                <w:sz w:val="20"/>
                <w:szCs w:val="20"/>
                <w:lang w:eastAsia="fr-CD"/>
              </w:rPr>
              <w:t>Sécurisation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 du grand </w:t>
            </w:r>
            <w:proofErr w:type="spellStart"/>
            <w:r w:rsidR="00863125">
              <w:rPr>
                <w:color w:val="000000"/>
                <w:sz w:val="20"/>
                <w:szCs w:val="20"/>
                <w:lang w:eastAsia="fr-CD"/>
              </w:rPr>
              <w:t>Zakouma</w:t>
            </w:r>
            <w:proofErr w:type="spellEnd"/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 et l’</w:t>
            </w:r>
            <w:proofErr w:type="spellStart"/>
            <w:r w:rsidR="00863125">
              <w:rPr>
                <w:color w:val="000000"/>
                <w:sz w:val="20"/>
                <w:szCs w:val="20"/>
                <w:lang w:eastAsia="fr-CD"/>
              </w:rPr>
              <w:t>Aouk</w:t>
            </w:r>
            <w:proofErr w:type="spellEnd"/>
            <w:r w:rsidR="003C5C90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fr-CD"/>
              </w:rPr>
              <w:t xml:space="preserve">et développement d’un plan d’affectation des terres 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>afin de préserver les efforts fournis par le Tchad et prévenir les incursions de braconniers en RCA</w:t>
            </w:r>
          </w:p>
          <w:p w14:paraId="06F6F0F4" w14:textId="77777777" w:rsidR="003C5C90" w:rsidRDefault="003C5C90" w:rsidP="007368D3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29FAD62D" w14:textId="3E0547D9" w:rsidR="007368D3" w:rsidRPr="00C36C77" w:rsidRDefault="007368D3" w:rsidP="0086312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>
              <w:rPr>
                <w:color w:val="000000"/>
                <w:sz w:val="20"/>
                <w:szCs w:val="20"/>
                <w:lang w:eastAsia="fr-CD"/>
              </w:rPr>
              <w:t>Sécurisation d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>u</w:t>
            </w:r>
            <w:r>
              <w:rPr>
                <w:color w:val="000000"/>
                <w:sz w:val="20"/>
                <w:szCs w:val="20"/>
                <w:lang w:eastAsia="fr-CD"/>
              </w:rPr>
              <w:t xml:space="preserve"> complexe des Aires </w:t>
            </w:r>
            <w:r w:rsidR="001E74D9">
              <w:rPr>
                <w:color w:val="000000"/>
                <w:sz w:val="20"/>
                <w:szCs w:val="20"/>
                <w:lang w:eastAsia="fr-CD"/>
              </w:rPr>
              <w:t>protégées</w:t>
            </w:r>
            <w:r>
              <w:rPr>
                <w:color w:val="000000"/>
                <w:sz w:val="20"/>
                <w:szCs w:val="20"/>
                <w:lang w:eastAsia="fr-CD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ZCVs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du Nord Est RCA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et développement d'un plan d'affectation des terres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757EA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45E23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C2C0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7F489D8D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555F" w14:textId="4A866D5F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2024B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EB67C" w14:textId="007178F2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A55AF" w14:textId="1C399D1B" w:rsidR="00555231" w:rsidRDefault="004204B5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Etudier et proposer différentes options de modernisation/</w:t>
            </w:r>
            <w:r w:rsidR="001C2CC5" w:rsidRPr="004204B5">
              <w:rPr>
                <w:color w:val="000000"/>
                <w:sz w:val="20"/>
                <w:szCs w:val="20"/>
                <w:lang w:eastAsia="fr-CD"/>
              </w:rPr>
              <w:t>transformation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r w:rsidR="002C4EF4" w:rsidRPr="002C4EF4">
              <w:rPr>
                <w:color w:val="000000"/>
                <w:sz w:val="20"/>
                <w:szCs w:val="20"/>
                <w:lang w:eastAsia="fr-CD"/>
              </w:rPr>
              <w:t xml:space="preserve">des 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 xml:space="preserve">options et de valorisation </w:t>
            </w:r>
            <w:r w:rsidR="002C4EF4" w:rsidRPr="002C4EF4">
              <w:rPr>
                <w:color w:val="000000"/>
                <w:sz w:val="20"/>
                <w:szCs w:val="20"/>
                <w:lang w:eastAsia="fr-CD"/>
              </w:rPr>
              <w:t>des produits d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 xml:space="preserve">’élevage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pouvant bénéficier aux éleveurs et autres communautés locales</w:t>
            </w:r>
            <w:r w:rsidR="00555231"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</w:p>
          <w:p w14:paraId="5CD5F2E5" w14:textId="1805B9C6" w:rsidR="004204B5" w:rsidRDefault="00555231" w:rsidP="00730DCB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2C4EF4">
              <w:rPr>
                <w:color w:val="000000"/>
                <w:sz w:val="20"/>
                <w:szCs w:val="20"/>
                <w:lang w:eastAsia="fr-CD"/>
              </w:rPr>
              <w:t>Promouvoir des projets</w:t>
            </w:r>
            <w:r>
              <w:rPr>
                <w:color w:val="000000"/>
                <w:sz w:val="20"/>
                <w:szCs w:val="20"/>
                <w:lang w:eastAsia="fr-CD"/>
              </w:rPr>
              <w:t xml:space="preserve"> pilot</w:t>
            </w:r>
            <w:r w:rsidR="008E7D43">
              <w:rPr>
                <w:color w:val="000000"/>
                <w:sz w:val="20"/>
                <w:szCs w:val="20"/>
                <w:lang w:eastAsia="fr-CD"/>
              </w:rPr>
              <w:t>e</w:t>
            </w:r>
            <w:r>
              <w:rPr>
                <w:color w:val="000000"/>
                <w:sz w:val="20"/>
                <w:szCs w:val="20"/>
                <w:lang w:eastAsia="fr-CD"/>
              </w:rPr>
              <w:t>s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 xml:space="preserve"> sur 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les 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>problématiques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 d’affectation de terre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>s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 et d’</w:t>
            </w:r>
            <w:r w:rsidR="003C5C90">
              <w:rPr>
                <w:color w:val="000000"/>
                <w:sz w:val="20"/>
                <w:szCs w:val="20"/>
                <w:lang w:eastAsia="fr-CD"/>
              </w:rPr>
              <w:t>élevage</w:t>
            </w:r>
            <w:r w:rsidR="00863125">
              <w:rPr>
                <w:color w:val="000000"/>
                <w:sz w:val="20"/>
                <w:szCs w:val="20"/>
                <w:lang w:eastAsia="fr-CD"/>
              </w:rPr>
              <w:t xml:space="preserve"> semi intensif</w:t>
            </w:r>
            <w:r w:rsidR="00730DCB">
              <w:rPr>
                <w:color w:val="000000"/>
                <w:sz w:val="20"/>
                <w:szCs w:val="20"/>
                <w:lang w:eastAsia="fr-CD"/>
              </w:rPr>
              <w:t xml:space="preserve"> en faveur des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 xml:space="preserve"> communaut</w:t>
            </w:r>
            <w:r w:rsidR="00730DCB">
              <w:rPr>
                <w:color w:val="000000"/>
                <w:sz w:val="20"/>
                <w:szCs w:val="20"/>
                <w:lang w:eastAsia="fr-CD"/>
              </w:rPr>
              <w:t>é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>s riveraines et transhumant</w:t>
            </w:r>
            <w:r w:rsidR="00730DCB">
              <w:rPr>
                <w:color w:val="000000"/>
                <w:sz w:val="20"/>
                <w:szCs w:val="20"/>
                <w:lang w:eastAsia="fr-CD"/>
              </w:rPr>
              <w:t>e</w:t>
            </w:r>
            <w:r w:rsidR="00CE7333">
              <w:rPr>
                <w:color w:val="000000"/>
                <w:sz w:val="20"/>
                <w:szCs w:val="20"/>
                <w:lang w:eastAsia="fr-CD"/>
              </w:rPr>
              <w:t>s</w:t>
            </w:r>
            <w:r>
              <w:rPr>
                <w:color w:val="000000"/>
                <w:sz w:val="20"/>
                <w:szCs w:val="20"/>
                <w:lang w:eastAsia="fr-CD"/>
              </w:rPr>
              <w:t>,</w:t>
            </w:r>
          </w:p>
          <w:p w14:paraId="16D418EE" w14:textId="77777777" w:rsidR="00730DCB" w:rsidRDefault="00730DCB" w:rsidP="00730DCB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163B9894" w14:textId="75D16BF1" w:rsidR="00730DCB" w:rsidRPr="00C36C77" w:rsidRDefault="00730DCB" w:rsidP="00730DCB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>
              <w:rPr>
                <w:color w:val="000000"/>
                <w:sz w:val="20"/>
                <w:szCs w:val="20"/>
                <w:lang w:eastAsia="fr-CD"/>
              </w:rPr>
              <w:t>Appuyer les actions d’éducation et de santé unique (animale et humaine) des communautés riveraines des aires protégées y compris les transhumants.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326769" w14:textId="628241F0" w:rsidR="004204B5" w:rsidRDefault="004204B5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 Mettre en place une coordination pour les brigades d’intervention en matière de la LAB transfrontalière dans l’Espace d’assise de l’Accord Tripartite LAB de N’Djamena</w:t>
            </w:r>
            <w:r w:rsidR="00674243">
              <w:rPr>
                <w:color w:val="000000"/>
                <w:sz w:val="20"/>
                <w:szCs w:val="20"/>
                <w:lang w:eastAsia="fr-CD"/>
              </w:rPr>
              <w:t xml:space="preserve"> et l’accord binational (</w:t>
            </w:r>
            <w:proofErr w:type="spellStart"/>
            <w:r w:rsidR="00674243">
              <w:rPr>
                <w:color w:val="000000"/>
                <w:sz w:val="20"/>
                <w:szCs w:val="20"/>
                <w:lang w:eastAsia="fr-CD"/>
              </w:rPr>
              <w:t>a</w:t>
            </w:r>
            <w:proofErr w:type="spellEnd"/>
            <w:r w:rsidR="00674243">
              <w:rPr>
                <w:color w:val="000000"/>
                <w:sz w:val="20"/>
                <w:szCs w:val="20"/>
                <w:lang w:eastAsia="fr-CD"/>
              </w:rPr>
              <w:t xml:space="preserve"> mettre en place) avec la participation </w:t>
            </w:r>
            <w:proofErr w:type="spellStart"/>
            <w:r w:rsidR="00674243">
              <w:rPr>
                <w:color w:val="000000"/>
                <w:sz w:val="20"/>
                <w:szCs w:val="20"/>
                <w:lang w:eastAsia="fr-CD"/>
              </w:rPr>
              <w:t>appropriee</w:t>
            </w:r>
            <w:proofErr w:type="spellEnd"/>
            <w:r w:rsidR="00674243">
              <w:rPr>
                <w:color w:val="000000"/>
                <w:sz w:val="20"/>
                <w:szCs w:val="20"/>
                <w:lang w:eastAsia="fr-CD"/>
              </w:rPr>
              <w:t xml:space="preserve"> des organes nationaux et internationaux  de la </w:t>
            </w:r>
            <w:proofErr w:type="spellStart"/>
            <w:r w:rsidR="00674243">
              <w:rPr>
                <w:color w:val="000000"/>
                <w:sz w:val="20"/>
                <w:szCs w:val="20"/>
                <w:lang w:eastAsia="fr-CD"/>
              </w:rPr>
              <w:t>securite</w:t>
            </w:r>
            <w:proofErr w:type="spellEnd"/>
            <w:r w:rsidR="00674243">
              <w:rPr>
                <w:color w:val="000000"/>
                <w:sz w:val="20"/>
                <w:szCs w:val="20"/>
                <w:lang w:eastAsia="fr-CD"/>
              </w:rPr>
              <w:t xml:space="preserve">. 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</w:p>
          <w:p w14:paraId="65B60C4C" w14:textId="77777777" w:rsidR="00674243" w:rsidRDefault="00674243" w:rsidP="002C4EF4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07591E0A" w14:textId="76D7682B" w:rsidR="00674243" w:rsidRPr="00C36C77" w:rsidRDefault="00674243" w:rsidP="00674243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Developper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un cadre de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cooperations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security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-gestion des aires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protegees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Tchad-RCA-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Sudan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Sudan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de Sud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228E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023DD5F9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36CB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F78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14180" w14:textId="27F2E813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A9C58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DCDBCC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8F64E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222B3E11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65773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DC7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CE236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F0011" w14:textId="2659098A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Valoriser les aires protégées dans l'économie locale au travers de mesures </w:t>
            </w:r>
            <w:r w:rsidR="001C2CC5" w:rsidRPr="004204B5">
              <w:rPr>
                <w:color w:val="000000"/>
                <w:sz w:val="20"/>
                <w:szCs w:val="20"/>
                <w:lang w:eastAsia="fr-CD"/>
              </w:rPr>
              <w:t>bénéficiant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aux communautés riveraines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226CD6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0D5B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490EC293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8DC21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1C28B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cs="Calibri"/>
                <w:color w:val="000000"/>
                <w:sz w:val="20"/>
                <w:szCs w:val="20"/>
                <w:lang w:val="fr-CD" w:eastAsia="fr-CD"/>
              </w:rPr>
              <w:t>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F58" w14:textId="0CC8198A" w:rsidR="004204B5" w:rsidRPr="00C36C77" w:rsidRDefault="004204B5" w:rsidP="007368D3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 Elaboration de la stratégie LAB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</w:t>
            </w:r>
            <w:proofErr w:type="spellStart"/>
            <w:r w:rsidR="007368D3">
              <w:rPr>
                <w:color w:val="000000"/>
                <w:sz w:val="20"/>
                <w:szCs w:val="20"/>
                <w:lang w:eastAsia="fr-CD"/>
              </w:rPr>
              <w:t>bi-national</w:t>
            </w:r>
            <w:proofErr w:type="spellEnd"/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Tchad et RCA et un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 plan d’action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, ainsi qu’un </w:t>
            </w:r>
            <w:proofErr w:type="spellStart"/>
            <w:r w:rsidR="007368D3">
              <w:rPr>
                <w:color w:val="000000"/>
                <w:sz w:val="20"/>
                <w:szCs w:val="20"/>
                <w:lang w:eastAsia="fr-CD"/>
              </w:rPr>
              <w:t>strategie</w:t>
            </w:r>
            <w:proofErr w:type="spellEnd"/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LAB tripartite.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C4C6E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D1384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29D06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006B1E82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B619C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8034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9D296" w14:textId="677336A3" w:rsidR="002C4EF4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  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>Selon les possibilit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>és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d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>u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context</w:t>
            </w:r>
            <w:r w:rsidR="005130CF">
              <w:rPr>
                <w:color w:val="000000"/>
                <w:sz w:val="20"/>
                <w:szCs w:val="20"/>
                <w:lang w:eastAsia="fr-CD"/>
              </w:rPr>
              <w:t>e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de </w:t>
            </w:r>
            <w:proofErr w:type="spellStart"/>
            <w:r w:rsidR="007368D3">
              <w:rPr>
                <w:color w:val="000000"/>
                <w:sz w:val="20"/>
                <w:szCs w:val="20"/>
                <w:lang w:eastAsia="fr-CD"/>
              </w:rPr>
              <w:t>securite</w:t>
            </w:r>
            <w:proofErr w:type="spellEnd"/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, </w:t>
            </w:r>
            <w:proofErr w:type="spellStart"/>
            <w:r w:rsidR="007368D3">
              <w:rPr>
                <w:color w:val="000000"/>
                <w:sz w:val="20"/>
                <w:szCs w:val="20"/>
                <w:lang w:eastAsia="fr-CD"/>
              </w:rPr>
              <w:t>developper</w:t>
            </w:r>
            <w:proofErr w:type="spellEnd"/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 le t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 xml:space="preserve">ourisme (mécanisme de développement durable des communautés locales et  de gestion des conflits liés à l’utilisation des ressources des </w:t>
            </w:r>
          </w:p>
          <w:p w14:paraId="1FFF1F43" w14:textId="025BB858" w:rsidR="002C4EF4" w:rsidRPr="00C36C77" w:rsidRDefault="002C4EF4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 w:rsidRPr="002C4EF4">
              <w:rPr>
                <w:color w:val="000000"/>
                <w:sz w:val="20"/>
                <w:szCs w:val="20"/>
                <w:lang w:eastAsia="fr-CD"/>
              </w:rPr>
              <w:t xml:space="preserve">Privilégier le dialogue avec les transhumants </w:t>
            </w:r>
            <w:r w:rsidR="007368D3">
              <w:rPr>
                <w:color w:val="000000"/>
                <w:sz w:val="20"/>
                <w:szCs w:val="20"/>
                <w:lang w:eastAsia="fr-CD"/>
              </w:rPr>
              <w:t xml:space="preserve">et </w:t>
            </w:r>
            <w:proofErr w:type="spellStart"/>
            <w:r w:rsidR="007368D3">
              <w:rPr>
                <w:color w:val="000000"/>
                <w:sz w:val="20"/>
                <w:szCs w:val="20"/>
                <w:lang w:eastAsia="fr-CD"/>
              </w:rPr>
              <w:t>de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>veloper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les approches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t>approprie</w:t>
            </w:r>
            <w:r w:rsidR="008E7D43">
              <w:rPr>
                <w:color w:val="000000"/>
                <w:sz w:val="20"/>
                <w:szCs w:val="20"/>
                <w:lang w:eastAsia="fr-CD"/>
              </w:rPr>
              <w:t>es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pour faire respecter les lois, corridors, et aires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lastRenderedPageBreak/>
              <w:t>protegees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150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740A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2C73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72204358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15D4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2D21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7660A" w14:textId="77777777" w:rsid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 w:rsidRPr="00C36C77">
              <w:rPr>
                <w:rFonts w:ascii="Wingdings" w:hAnsi="Wingdings" w:cs="Calibri"/>
                <w:color w:val="000000"/>
                <w:sz w:val="20"/>
                <w:szCs w:val="20"/>
                <w:lang w:eastAsia="fr-CD"/>
              </w:rPr>
              <w:t></w:t>
            </w:r>
            <w:r w:rsidRPr="00C36C77">
              <w:rPr>
                <w:color w:val="000000"/>
                <w:sz w:val="20"/>
                <w:szCs w:val="20"/>
                <w:lang w:eastAsia="fr-CD"/>
              </w:rPr>
              <w:t>  Prise en compte particulière des défis liés à l’application des principes de gouvernance en relation avec l’utilisation des ressources</w:t>
            </w:r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en concerte aves les </w:t>
            </w:r>
            <w:proofErr w:type="spellStart"/>
            <w:r w:rsidR="00555231">
              <w:rPr>
                <w:color w:val="000000"/>
                <w:sz w:val="20"/>
                <w:szCs w:val="20"/>
                <w:lang w:eastAsia="fr-CD"/>
              </w:rPr>
              <w:t>communautes</w:t>
            </w:r>
            <w:proofErr w:type="spellEnd"/>
            <w:r w:rsidR="00555231">
              <w:rPr>
                <w:color w:val="000000"/>
                <w:sz w:val="20"/>
                <w:szCs w:val="20"/>
                <w:lang w:eastAsia="fr-CD"/>
              </w:rPr>
              <w:t xml:space="preserve"> locales et les transhumants</w:t>
            </w:r>
          </w:p>
          <w:p w14:paraId="40C44331" w14:textId="77777777" w:rsidR="00555231" w:rsidRDefault="00555231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  <w:r>
              <w:rPr>
                <w:color w:val="000000"/>
                <w:sz w:val="20"/>
                <w:szCs w:val="20"/>
                <w:lang w:eastAsia="fr-CD"/>
              </w:rPr>
              <w:t xml:space="preserve">Formation et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integrations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des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communautes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locales et transhumants dans la LAB.</w:t>
            </w:r>
          </w:p>
          <w:p w14:paraId="44528C3D" w14:textId="77777777" w:rsidR="00674243" w:rsidRDefault="00674243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color w:val="000000"/>
                <w:sz w:val="20"/>
                <w:szCs w:val="20"/>
                <w:lang w:eastAsia="fr-CD"/>
              </w:rPr>
            </w:pPr>
          </w:p>
          <w:p w14:paraId="2287F211" w14:textId="524C28C3" w:rsidR="00674243" w:rsidRPr="00C36C77" w:rsidRDefault="00674243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  <w:r>
              <w:rPr>
                <w:color w:val="000000"/>
                <w:sz w:val="20"/>
                <w:szCs w:val="20"/>
                <w:lang w:eastAsia="fr-CD"/>
              </w:rPr>
              <w:t xml:space="preserve">Assurer la participation et appuyer des organes de la </w:t>
            </w:r>
            <w:proofErr w:type="spellStart"/>
            <w:r>
              <w:rPr>
                <w:color w:val="000000"/>
                <w:sz w:val="20"/>
                <w:szCs w:val="20"/>
                <w:lang w:eastAsia="fr-CD"/>
              </w:rPr>
              <w:t>securite</w:t>
            </w:r>
            <w:proofErr w:type="spellEnd"/>
            <w:r>
              <w:rPr>
                <w:color w:val="000000"/>
                <w:sz w:val="20"/>
                <w:szCs w:val="20"/>
                <w:lang w:eastAsia="fr-CD"/>
              </w:rPr>
              <w:t xml:space="preserve"> et mitigation des conflit</w:t>
            </w:r>
            <w:r w:rsidR="008E7D43">
              <w:rPr>
                <w:color w:val="000000"/>
                <w:sz w:val="20"/>
                <w:szCs w:val="20"/>
                <w:lang w:eastAsia="fr-CD"/>
              </w:rPr>
              <w:t>s</w:t>
            </w:r>
            <w:r>
              <w:rPr>
                <w:color w:val="000000"/>
                <w:sz w:val="20"/>
                <w:szCs w:val="20"/>
                <w:lang w:eastAsia="fr-CD"/>
              </w:rPr>
              <w:t xml:space="preserve"> dans la surveillance et actions LAB</w:t>
            </w:r>
            <w:r w:rsidR="00E650D2">
              <w:rPr>
                <w:color w:val="000000"/>
                <w:sz w:val="20"/>
                <w:szCs w:val="20"/>
                <w:lang w:eastAsia="fr-CD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24E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CBE67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5255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293CA088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7736" w14:textId="3C128512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05A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1CF74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0580D" w14:textId="13BBB48E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ECC6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6C68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565059D4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5794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7E5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6FB3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1E6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2ED0D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Wingdings" w:hAnsi="Wingdings" w:cs="Calibri"/>
                <w:color w:val="000000"/>
                <w:sz w:val="20"/>
                <w:szCs w:val="20"/>
                <w:lang w:val="fr-CD" w:eastAsia="fr-C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E3EA" w14:textId="77777777" w:rsidR="004204B5" w:rsidRPr="00C36C77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</w:pPr>
            <w:r w:rsidRPr="00C36C77">
              <w:rPr>
                <w:rFonts w:ascii="Calibri" w:hAnsi="Calibri" w:cs="Calibri"/>
                <w:color w:val="000000"/>
                <w:sz w:val="20"/>
                <w:szCs w:val="20"/>
                <w:lang w:val="fr-CD" w:eastAsia="fr-CD"/>
              </w:rPr>
              <w:t> </w:t>
            </w:r>
          </w:p>
        </w:tc>
      </w:tr>
      <w:tr w:rsidR="004204B5" w:rsidRPr="004204B5" w14:paraId="0AACE470" w14:textId="77777777" w:rsidTr="00C36C77">
        <w:trPr>
          <w:trHeight w:val="300"/>
        </w:trPr>
        <w:tc>
          <w:tcPr>
            <w:tcW w:w="12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30157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b/>
                <w:bCs/>
                <w:color w:val="000000"/>
                <w:lang w:val="fr-CD" w:eastAsia="fr-CD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2F4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</w:pPr>
            <w:r w:rsidRPr="004204B5"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724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</w:pPr>
            <w:r w:rsidRPr="004204B5"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7B61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</w:pPr>
            <w:r w:rsidRPr="004204B5"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1EFE9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</w:pPr>
            <w:r w:rsidRPr="004204B5"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95E9" w14:textId="77777777" w:rsidR="004204B5" w:rsidRPr="004204B5" w:rsidRDefault="004204B5" w:rsidP="004204B5">
            <w:pPr>
              <w:pBdr>
                <w:bottom w:val="none" w:sz="0" w:space="0" w:color="auto"/>
              </w:pBdr>
              <w:shd w:val="clear" w:color="auto" w:fill="auto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</w:pPr>
            <w:r w:rsidRPr="004204B5">
              <w:rPr>
                <w:rFonts w:ascii="Calibri" w:hAnsi="Calibri" w:cs="Calibri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</w:tbl>
    <w:p w14:paraId="425A595C" w14:textId="77777777" w:rsidR="004204B5" w:rsidRDefault="004204B5" w:rsidP="004204B5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1911513E" w14:textId="77777777" w:rsidR="004204B5" w:rsidRDefault="004204B5" w:rsidP="004204B5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291DA1FB" w14:textId="1F22E754" w:rsidR="00671B24" w:rsidRDefault="00671B24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53006258" w14:textId="629FFD07" w:rsidR="00772966" w:rsidRPr="00BA413D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  <w:lang w:val="fr-CD"/>
        </w:rPr>
      </w:pPr>
      <w:r w:rsidRPr="00BA413D">
        <w:rPr>
          <w:b/>
          <w:lang w:val="fr-CD"/>
        </w:rPr>
        <w:t>Recommandations d’ordre général</w:t>
      </w:r>
    </w:p>
    <w:p w14:paraId="077B63A7" w14:textId="6E30AC47" w:rsidR="00772966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r>
        <w:rPr>
          <w:lang w:val="fr-CD"/>
        </w:rPr>
        <w:t>Mettre</w:t>
      </w:r>
      <w:r w:rsidR="005421CB">
        <w:rPr>
          <w:lang w:val="fr-CD"/>
        </w:rPr>
        <w:t xml:space="preserve"> en place </w:t>
      </w:r>
      <w:r>
        <w:rPr>
          <w:lang w:val="fr-CD"/>
        </w:rPr>
        <w:t>un comité de suivi des recommandations</w:t>
      </w:r>
    </w:p>
    <w:p w14:paraId="30BA84B2" w14:textId="397CEA1B" w:rsidR="00772966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r>
        <w:rPr>
          <w:lang w:val="fr-CD"/>
        </w:rPr>
        <w:t xml:space="preserve">Nommer les points focaux pour chaque  </w:t>
      </w:r>
      <w:r w:rsidR="005421CB">
        <w:rPr>
          <w:lang w:val="fr-CD"/>
        </w:rPr>
        <w:t>thème</w:t>
      </w:r>
      <w:r>
        <w:rPr>
          <w:lang w:val="fr-CD"/>
        </w:rPr>
        <w:t xml:space="preserve"> et </w:t>
      </w:r>
      <w:r w:rsidR="008E7D43">
        <w:rPr>
          <w:lang w:val="fr-CD"/>
        </w:rPr>
        <w:t xml:space="preserve">par </w:t>
      </w:r>
      <w:r>
        <w:rPr>
          <w:lang w:val="fr-CD"/>
        </w:rPr>
        <w:t>institution</w:t>
      </w:r>
    </w:p>
    <w:p w14:paraId="2208C68D" w14:textId="54F3F7BF" w:rsidR="00772966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r>
        <w:rPr>
          <w:lang w:val="fr-CD"/>
        </w:rPr>
        <w:t>Développer des programmes d’action avec une priorisation</w:t>
      </w:r>
    </w:p>
    <w:p w14:paraId="2E744FA7" w14:textId="77777777" w:rsidR="00772966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3F207769" w14:textId="5BBE7A70" w:rsidR="00772966" w:rsidRPr="00BA413D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  <w:lang w:val="fr-CD"/>
        </w:rPr>
      </w:pPr>
      <w:r w:rsidRPr="00BA413D">
        <w:rPr>
          <w:b/>
          <w:lang w:val="fr-CD"/>
        </w:rPr>
        <w:t>Actions prioritaires</w:t>
      </w:r>
      <w:r w:rsidR="005130CF">
        <w:rPr>
          <w:b/>
          <w:lang w:val="fr-CD"/>
        </w:rPr>
        <w:t xml:space="preserve"> (court terme)</w:t>
      </w:r>
    </w:p>
    <w:p w14:paraId="72A1D327" w14:textId="5CB488F4" w:rsidR="00772966" w:rsidRPr="00BA413D" w:rsidRDefault="002A5F9A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  <w:lang w:val="fr-CD"/>
        </w:rPr>
      </w:pPr>
      <w:r w:rsidRPr="00BA413D">
        <w:rPr>
          <w:b/>
          <w:lang w:val="fr-CD"/>
        </w:rPr>
        <w:t xml:space="preserve">Volet </w:t>
      </w:r>
      <w:r w:rsidR="00772966" w:rsidRPr="00BA413D">
        <w:rPr>
          <w:b/>
          <w:lang w:val="fr-CD"/>
        </w:rPr>
        <w:t>Transhumance </w:t>
      </w:r>
    </w:p>
    <w:p w14:paraId="5B91C465" w14:textId="0D7CE5B9" w:rsidR="00772966" w:rsidRDefault="00772966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r>
        <w:rPr>
          <w:lang w:val="fr-CD"/>
        </w:rPr>
        <w:lastRenderedPageBreak/>
        <w:t>Inform</w:t>
      </w:r>
      <w:r w:rsidR="002A5F9A">
        <w:rPr>
          <w:lang w:val="fr-CD"/>
        </w:rPr>
        <w:t xml:space="preserve">er, sensibiliser les chefs traditionnels (éleveurs) sur la problématique des aires protégées et mettre en place des plateformes de dialogue pour des rapports </w:t>
      </w:r>
      <w:r>
        <w:rPr>
          <w:lang w:val="fr-CD"/>
        </w:rPr>
        <w:t>apais</w:t>
      </w:r>
      <w:r w:rsidR="002A5F9A">
        <w:rPr>
          <w:lang w:val="fr-CD"/>
        </w:rPr>
        <w:t>é</w:t>
      </w:r>
      <w:r>
        <w:rPr>
          <w:lang w:val="fr-CD"/>
        </w:rPr>
        <w:t xml:space="preserve">s </w:t>
      </w:r>
    </w:p>
    <w:p w14:paraId="6D89A5A3" w14:textId="3F4B91B0" w:rsidR="00B8779C" w:rsidRDefault="00B8779C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r>
        <w:rPr>
          <w:lang w:val="fr-CD"/>
        </w:rPr>
        <w:t xml:space="preserve">Identifier et matérialiser les couloirs de transhumance </w:t>
      </w:r>
    </w:p>
    <w:p w14:paraId="4F423F0E" w14:textId="7D20D438" w:rsidR="006163C7" w:rsidRDefault="006163C7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C4EF4">
        <w:rPr>
          <w:color w:val="000000"/>
          <w:sz w:val="20"/>
          <w:szCs w:val="20"/>
          <w:lang w:eastAsia="fr-CD"/>
        </w:rPr>
        <w:t>Promouvoir des projets</w:t>
      </w:r>
      <w:r>
        <w:rPr>
          <w:color w:val="000000"/>
          <w:sz w:val="20"/>
          <w:szCs w:val="20"/>
          <w:lang w:eastAsia="fr-CD"/>
        </w:rPr>
        <w:t xml:space="preserve"> pilotes sur les problématiques d’affectation de terres et d’élevage semi intensif en faveur des communautés riveraines des aires </w:t>
      </w:r>
      <w:proofErr w:type="spellStart"/>
      <w:r>
        <w:rPr>
          <w:color w:val="000000"/>
          <w:sz w:val="20"/>
          <w:szCs w:val="20"/>
          <w:lang w:eastAsia="fr-CD"/>
        </w:rPr>
        <w:t>protegees</w:t>
      </w:r>
      <w:proofErr w:type="spellEnd"/>
      <w:r>
        <w:rPr>
          <w:color w:val="000000"/>
          <w:sz w:val="20"/>
          <w:szCs w:val="20"/>
          <w:lang w:eastAsia="fr-CD"/>
        </w:rPr>
        <w:t xml:space="preserve"> et transhumantes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</w:p>
    <w:p w14:paraId="7896B2C7" w14:textId="3B79D7CC" w:rsidR="00772966" w:rsidRDefault="00B8779C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  <w:proofErr w:type="spellStart"/>
      <w:r>
        <w:rPr>
          <w:rFonts w:ascii="Calibri" w:eastAsia="Calibri" w:hAnsi="Calibri"/>
          <w:color w:val="auto"/>
          <w:sz w:val="22"/>
          <w:szCs w:val="22"/>
          <w:lang w:eastAsia="en-US"/>
        </w:rPr>
        <w:t>Entrependre</w:t>
      </w:r>
      <w:proofErr w:type="spellEnd"/>
      <w:r w:rsidRPr="00207843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des étud</w:t>
      </w:r>
      <w:r w:rsidR="006163C7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es visant à catégoriser les </w:t>
      </w:r>
      <w:r w:rsidRPr="00207843">
        <w:rPr>
          <w:rFonts w:ascii="Calibri" w:eastAsia="Calibri" w:hAnsi="Calibri"/>
          <w:color w:val="auto"/>
          <w:sz w:val="22"/>
          <w:szCs w:val="22"/>
          <w:lang w:eastAsia="en-US"/>
        </w:rPr>
        <w:t>différentes formes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207843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de transhumance ainsi que leur importance </w:t>
      </w:r>
      <w:proofErr w:type="spellStart"/>
      <w:r w:rsidRPr="00207843">
        <w:rPr>
          <w:rFonts w:ascii="Calibri" w:eastAsia="Calibri" w:hAnsi="Calibri"/>
          <w:color w:val="auto"/>
          <w:sz w:val="22"/>
          <w:szCs w:val="22"/>
          <w:lang w:eastAsia="en-US"/>
        </w:rPr>
        <w:t>socioeconomique</w:t>
      </w:r>
      <w:proofErr w:type="spellEnd"/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</w:p>
    <w:p w14:paraId="1E69C67C" w14:textId="77777777" w:rsidR="002A5F9A" w:rsidRDefault="002A5F9A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5AF03BB1" w14:textId="3C91D1FE" w:rsidR="002A5F9A" w:rsidRPr="00BA413D" w:rsidRDefault="002A5F9A" w:rsidP="00C36C77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  <w:lang w:val="fr-CD"/>
        </w:rPr>
      </w:pPr>
      <w:r w:rsidRPr="00BA413D">
        <w:rPr>
          <w:b/>
          <w:lang w:val="fr-CD"/>
        </w:rPr>
        <w:t>Volet gestion des APs et  p</w:t>
      </w:r>
      <w:r w:rsidR="00EF0850" w:rsidRPr="00BA413D">
        <w:rPr>
          <w:b/>
          <w:lang w:val="fr-CD"/>
        </w:rPr>
        <w:t>é</w:t>
      </w:r>
      <w:r w:rsidRPr="00BA413D">
        <w:rPr>
          <w:b/>
          <w:lang w:val="fr-CD"/>
        </w:rPr>
        <w:t>riph</w:t>
      </w:r>
      <w:r w:rsidR="00EF0850" w:rsidRPr="00BA413D">
        <w:rPr>
          <w:b/>
          <w:lang w:val="fr-CD"/>
        </w:rPr>
        <w:t>é</w:t>
      </w:r>
      <w:r w:rsidRPr="00BA413D">
        <w:rPr>
          <w:b/>
          <w:lang w:val="fr-CD"/>
        </w:rPr>
        <w:t>rie</w:t>
      </w:r>
      <w:r w:rsidR="00EF0850" w:rsidRPr="00BA413D">
        <w:rPr>
          <w:b/>
          <w:lang w:val="fr-CD"/>
        </w:rPr>
        <w:t>/</w:t>
      </w:r>
      <w:r w:rsidRPr="00BA413D">
        <w:rPr>
          <w:b/>
          <w:lang w:val="fr-CD"/>
        </w:rPr>
        <w:t>securit-LAB</w:t>
      </w:r>
    </w:p>
    <w:p w14:paraId="0E6CDF9B" w14:textId="7CDBB64D" w:rsidR="002A5F9A" w:rsidRDefault="002A5F9A" w:rsidP="00BA413D">
      <w:pPr>
        <w:pStyle w:val="Paragraphedeliste"/>
        <w:numPr>
          <w:ilvl w:val="0"/>
          <w:numId w:val="19"/>
        </w:num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  <w:r>
        <w:rPr>
          <w:lang w:val="fr-CD"/>
        </w:rPr>
        <w:t>Signature des Protocoles Spécifiques  (Des Accords BN-Tripartite) LAB et Ecodéveloppement  par le Cameroun</w:t>
      </w:r>
    </w:p>
    <w:p w14:paraId="3D29F8D4" w14:textId="709A54DC" w:rsidR="00EF0850" w:rsidRPr="00EF0850" w:rsidRDefault="00EF0850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left="284" w:firstLine="0"/>
        <w:jc w:val="left"/>
        <w:rPr>
          <w:lang w:val="fr-CD"/>
        </w:rPr>
      </w:pPr>
      <w:r>
        <w:rPr>
          <w:lang w:val="fr-CD"/>
        </w:rPr>
        <w:t>Et leur m</w:t>
      </w:r>
      <w:r w:rsidRPr="00EF0850">
        <w:rPr>
          <w:lang w:val="fr-CD"/>
        </w:rPr>
        <w:t xml:space="preserve">ise en œuvre </w:t>
      </w:r>
      <w:r>
        <w:rPr>
          <w:lang w:val="fr-CD"/>
        </w:rPr>
        <w:t>immédiate</w:t>
      </w:r>
    </w:p>
    <w:p w14:paraId="10554BA7" w14:textId="57876B9E" w:rsidR="00EF0850" w:rsidRDefault="00EF0850" w:rsidP="00BA413D">
      <w:pPr>
        <w:pStyle w:val="Paragraphedeliste"/>
        <w:numPr>
          <w:ilvl w:val="0"/>
          <w:numId w:val="19"/>
        </w:num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  <w:r>
        <w:rPr>
          <w:lang w:val="fr-CD"/>
        </w:rPr>
        <w:t>Renforcer les échanges d’information et le système d’alerte entre les acteurs de la conservation et la mobilisation d’intervention rapide</w:t>
      </w:r>
    </w:p>
    <w:p w14:paraId="66F263B8" w14:textId="77777777" w:rsidR="00EF0850" w:rsidRDefault="00EF0850" w:rsidP="00EF0850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</w:pPr>
    </w:p>
    <w:p w14:paraId="1CF051FC" w14:textId="7E7685C0" w:rsidR="00EF0850" w:rsidRPr="00BA413D" w:rsidRDefault="00EF0850" w:rsidP="00EF0850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b/>
          <w:lang w:val="fr-CD"/>
        </w:rPr>
      </w:pPr>
      <w:r w:rsidRPr="00BA413D">
        <w:rPr>
          <w:b/>
          <w:lang w:val="fr-CD"/>
        </w:rPr>
        <w:t xml:space="preserve">Volet Développement </w:t>
      </w:r>
      <w:r w:rsidR="005421CB" w:rsidRPr="00BA413D">
        <w:rPr>
          <w:b/>
          <w:lang w:val="fr-CD"/>
        </w:rPr>
        <w:t>socioéconomique</w:t>
      </w:r>
      <w:r w:rsidRPr="00BA413D">
        <w:rPr>
          <w:b/>
          <w:lang w:val="fr-CD"/>
        </w:rPr>
        <w:t xml:space="preserve"> </w:t>
      </w:r>
    </w:p>
    <w:p w14:paraId="4BC3604D" w14:textId="77777777" w:rsidR="00EF0850" w:rsidRDefault="00EF0850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</w:p>
    <w:p w14:paraId="4C854CCF" w14:textId="042DACDB" w:rsidR="00EF0850" w:rsidRDefault="00EF0850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  <w:r>
        <w:rPr>
          <w:lang w:val="fr-CD"/>
        </w:rPr>
        <w:t>Identifier et quantifier les besoins et les prioriser (quel type d’activité, où les mettre en œuvre)</w:t>
      </w:r>
    </w:p>
    <w:p w14:paraId="13A1559C" w14:textId="42590710" w:rsidR="005421CB" w:rsidRDefault="005421CB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  <w:r>
        <w:rPr>
          <w:lang w:val="fr-CD"/>
        </w:rPr>
        <w:t>Cibler les communautés riveraines des aires protégées</w:t>
      </w:r>
    </w:p>
    <w:p w14:paraId="23F610E3" w14:textId="77777777" w:rsidR="005421CB" w:rsidRDefault="005421CB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</w:p>
    <w:p w14:paraId="4C5BE27D" w14:textId="77777777" w:rsidR="005421CB" w:rsidRPr="00BA413D" w:rsidRDefault="005421CB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b/>
          <w:lang w:val="fr-CD"/>
        </w:rPr>
      </w:pPr>
      <w:r w:rsidRPr="00BA413D">
        <w:rPr>
          <w:b/>
          <w:lang w:val="fr-CD"/>
        </w:rPr>
        <w:t>Volet collaboration transfrontalière</w:t>
      </w:r>
    </w:p>
    <w:p w14:paraId="31F28AF0" w14:textId="7DED7112" w:rsidR="005421CB" w:rsidRDefault="005421CB" w:rsidP="00BA413D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jc w:val="left"/>
        <w:rPr>
          <w:lang w:val="fr-CD"/>
        </w:rPr>
      </w:pPr>
      <w:r>
        <w:rPr>
          <w:lang w:val="fr-CD"/>
        </w:rPr>
        <w:t xml:space="preserve">Mettre en place un comité binational Tchad /RCA pour rédiger un accord bilatéral Tchad/RCA sur la gestion des </w:t>
      </w:r>
      <w:proofErr w:type="spellStart"/>
      <w:r>
        <w:rPr>
          <w:lang w:val="fr-CD"/>
        </w:rPr>
        <w:t>Aps</w:t>
      </w:r>
      <w:proofErr w:type="spellEnd"/>
      <w:r>
        <w:rPr>
          <w:lang w:val="fr-CD"/>
        </w:rPr>
        <w:t xml:space="preserve"> (</w:t>
      </w:r>
      <w:proofErr w:type="spellStart"/>
      <w:r>
        <w:rPr>
          <w:lang w:val="fr-CD"/>
        </w:rPr>
        <w:t>Zakouma</w:t>
      </w:r>
      <w:proofErr w:type="spellEnd"/>
      <w:r>
        <w:rPr>
          <w:lang w:val="fr-CD"/>
        </w:rPr>
        <w:t xml:space="preserve">, </w:t>
      </w:r>
      <w:proofErr w:type="spellStart"/>
      <w:r>
        <w:rPr>
          <w:lang w:val="fr-CD"/>
        </w:rPr>
        <w:t>Aouk</w:t>
      </w:r>
      <w:proofErr w:type="spellEnd"/>
      <w:r>
        <w:rPr>
          <w:lang w:val="fr-CD"/>
        </w:rPr>
        <w:t xml:space="preserve"> et parcs du Nord Est RCA et appuyer sa signature)</w:t>
      </w:r>
    </w:p>
    <w:p w14:paraId="25ADB36B" w14:textId="793B7F8C" w:rsidR="005421CB" w:rsidRPr="00EF0850" w:rsidRDefault="005421CB" w:rsidP="005421CB">
      <w:pPr>
        <w:pBdr>
          <w:bottom w:val="none" w:sz="0" w:space="0" w:color="auto"/>
        </w:pBdr>
        <w:shd w:val="clear" w:color="auto" w:fill="auto"/>
        <w:spacing w:before="0" w:beforeAutospacing="0" w:after="160" w:afterAutospacing="0" w:line="259" w:lineRule="auto"/>
        <w:ind w:firstLine="0"/>
        <w:jc w:val="left"/>
        <w:rPr>
          <w:lang w:val="fr-CD"/>
        </w:rPr>
        <w:sectPr w:rsidR="005421CB" w:rsidRPr="00EF0850" w:rsidSect="00C071B0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9D21DC" w14:textId="77777777" w:rsidR="00F3061D" w:rsidRPr="00287FCE" w:rsidRDefault="00F3061D" w:rsidP="00F875AE"/>
    <w:sectPr w:rsidR="00F3061D" w:rsidRPr="00287FCE" w:rsidSect="00C36C7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35B9" w14:textId="77777777" w:rsidR="002434E5" w:rsidRDefault="002434E5" w:rsidP="00C071B0">
      <w:r>
        <w:separator/>
      </w:r>
    </w:p>
  </w:endnote>
  <w:endnote w:type="continuationSeparator" w:id="0">
    <w:p w14:paraId="3C672DE0" w14:textId="77777777" w:rsidR="002434E5" w:rsidRDefault="002434E5" w:rsidP="00C0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53CDB" w14:textId="77777777" w:rsidR="002434E5" w:rsidRDefault="002434E5" w:rsidP="0051272A">
      <w:r>
        <w:separator/>
      </w:r>
    </w:p>
  </w:footnote>
  <w:footnote w:type="continuationSeparator" w:id="0">
    <w:p w14:paraId="46842D95" w14:textId="77777777" w:rsidR="002434E5" w:rsidRDefault="002434E5" w:rsidP="00C0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9FF3" w14:textId="77777777" w:rsidR="00A23391" w:rsidRDefault="00A23391" w:rsidP="00C071B0">
    <w:pPr>
      <w:pStyle w:val="En-tte"/>
      <w:spacing w:after="100"/>
      <w:jc w:val="center"/>
    </w:pPr>
    <w:r>
      <w:rPr>
        <w:noProof/>
        <w:lang w:eastAsia="fr-FR"/>
      </w:rPr>
      <w:drawing>
        <wp:inline distT="0" distB="0" distL="0" distR="0" wp14:anchorId="7CAF6DA6" wp14:editId="710E7635">
          <wp:extent cx="909828" cy="429768"/>
          <wp:effectExtent l="0" t="0" r="5080" b="889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CB_logoFR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828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6ECC8" w14:textId="77777777" w:rsidR="00A23391" w:rsidRDefault="00A23391" w:rsidP="00C071B0">
    <w:pPr>
      <w:pStyle w:val="En-tte"/>
      <w:spacing w:after="100"/>
      <w:jc w:val="center"/>
    </w:pPr>
    <w:r>
      <w:rPr>
        <w:noProof/>
        <w:lang w:eastAsia="fr-FR"/>
      </w:rPr>
      <w:drawing>
        <wp:inline distT="0" distB="0" distL="0" distR="0" wp14:anchorId="52D9C7AA" wp14:editId="07CD9AB4">
          <wp:extent cx="909828" cy="429768"/>
          <wp:effectExtent l="0" t="0" r="508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CB_logoFR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828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A38A" w14:textId="77777777" w:rsidR="00A23391" w:rsidRDefault="00A23391" w:rsidP="00C071B0">
    <w:pPr>
      <w:pStyle w:val="En-tte"/>
      <w:spacing w:after="100"/>
      <w:jc w:val="center"/>
    </w:pPr>
    <w:r>
      <w:rPr>
        <w:noProof/>
        <w:lang w:eastAsia="fr-FR"/>
      </w:rPr>
      <w:drawing>
        <wp:inline distT="0" distB="0" distL="0" distR="0" wp14:anchorId="75B4ABFA" wp14:editId="2F3685B1">
          <wp:extent cx="909828" cy="429768"/>
          <wp:effectExtent l="0" t="0" r="508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CB_logoFR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828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204"/>
    <w:multiLevelType w:val="multilevel"/>
    <w:tmpl w:val="6E3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980"/>
    <w:multiLevelType w:val="hybridMultilevel"/>
    <w:tmpl w:val="F05CC15A"/>
    <w:lvl w:ilvl="0" w:tplc="BC488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E684F"/>
    <w:multiLevelType w:val="hybridMultilevel"/>
    <w:tmpl w:val="9C8878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7F6D"/>
    <w:multiLevelType w:val="hybridMultilevel"/>
    <w:tmpl w:val="9A7612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494A"/>
    <w:multiLevelType w:val="hybridMultilevel"/>
    <w:tmpl w:val="6F6049E0"/>
    <w:lvl w:ilvl="0" w:tplc="1592D0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364" w:hanging="360"/>
      </w:pPr>
    </w:lvl>
    <w:lvl w:ilvl="2" w:tplc="240C001B" w:tentative="1">
      <w:start w:val="1"/>
      <w:numFmt w:val="lowerRoman"/>
      <w:lvlText w:val="%3."/>
      <w:lvlJc w:val="right"/>
      <w:pPr>
        <w:ind w:left="2084" w:hanging="180"/>
      </w:pPr>
    </w:lvl>
    <w:lvl w:ilvl="3" w:tplc="240C000F" w:tentative="1">
      <w:start w:val="1"/>
      <w:numFmt w:val="decimal"/>
      <w:lvlText w:val="%4."/>
      <w:lvlJc w:val="left"/>
      <w:pPr>
        <w:ind w:left="2804" w:hanging="360"/>
      </w:pPr>
    </w:lvl>
    <w:lvl w:ilvl="4" w:tplc="240C0019" w:tentative="1">
      <w:start w:val="1"/>
      <w:numFmt w:val="lowerLetter"/>
      <w:lvlText w:val="%5."/>
      <w:lvlJc w:val="left"/>
      <w:pPr>
        <w:ind w:left="3524" w:hanging="360"/>
      </w:pPr>
    </w:lvl>
    <w:lvl w:ilvl="5" w:tplc="240C001B" w:tentative="1">
      <w:start w:val="1"/>
      <w:numFmt w:val="lowerRoman"/>
      <w:lvlText w:val="%6."/>
      <w:lvlJc w:val="right"/>
      <w:pPr>
        <w:ind w:left="4244" w:hanging="180"/>
      </w:pPr>
    </w:lvl>
    <w:lvl w:ilvl="6" w:tplc="240C000F" w:tentative="1">
      <w:start w:val="1"/>
      <w:numFmt w:val="decimal"/>
      <w:lvlText w:val="%7."/>
      <w:lvlJc w:val="left"/>
      <w:pPr>
        <w:ind w:left="4964" w:hanging="360"/>
      </w:pPr>
    </w:lvl>
    <w:lvl w:ilvl="7" w:tplc="240C0019" w:tentative="1">
      <w:start w:val="1"/>
      <w:numFmt w:val="lowerLetter"/>
      <w:lvlText w:val="%8."/>
      <w:lvlJc w:val="left"/>
      <w:pPr>
        <w:ind w:left="5684" w:hanging="360"/>
      </w:pPr>
    </w:lvl>
    <w:lvl w:ilvl="8" w:tplc="2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1E5346"/>
    <w:multiLevelType w:val="hybridMultilevel"/>
    <w:tmpl w:val="BEF8A0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D2116"/>
    <w:multiLevelType w:val="hybridMultilevel"/>
    <w:tmpl w:val="A97ECCCC"/>
    <w:lvl w:ilvl="0" w:tplc="D2C08C3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2626A"/>
    <w:multiLevelType w:val="hybridMultilevel"/>
    <w:tmpl w:val="15ACCFAE"/>
    <w:lvl w:ilvl="0" w:tplc="CE5AC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9109D"/>
    <w:multiLevelType w:val="hybridMultilevel"/>
    <w:tmpl w:val="EED63824"/>
    <w:lvl w:ilvl="0" w:tplc="2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477F9"/>
    <w:multiLevelType w:val="hybridMultilevel"/>
    <w:tmpl w:val="4A9C9E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D35FF"/>
    <w:multiLevelType w:val="hybridMultilevel"/>
    <w:tmpl w:val="A9443C1C"/>
    <w:lvl w:ilvl="0" w:tplc="3B2A1AF0">
      <w:start w:val="2"/>
      <w:numFmt w:val="lowerRoman"/>
      <w:lvlText w:val="%1)"/>
      <w:lvlJc w:val="left"/>
      <w:pPr>
        <w:ind w:left="720" w:hanging="72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8473CA"/>
    <w:multiLevelType w:val="hybridMultilevel"/>
    <w:tmpl w:val="D3BA13CE"/>
    <w:lvl w:ilvl="0" w:tplc="2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B0D2F"/>
    <w:multiLevelType w:val="hybridMultilevel"/>
    <w:tmpl w:val="F0AA58BA"/>
    <w:lvl w:ilvl="0" w:tplc="0407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569B36F9"/>
    <w:multiLevelType w:val="hybridMultilevel"/>
    <w:tmpl w:val="E37A7D3E"/>
    <w:lvl w:ilvl="0" w:tplc="49A263C0">
      <w:start w:val="1"/>
      <w:numFmt w:val="decimal"/>
      <w:pStyle w:val="Titre1"/>
      <w:lvlText w:val="%1."/>
      <w:lvlJc w:val="left"/>
      <w:pPr>
        <w:ind w:left="1004" w:hanging="360"/>
      </w:pPr>
    </w:lvl>
    <w:lvl w:ilvl="1" w:tplc="240C0019" w:tentative="1">
      <w:start w:val="1"/>
      <w:numFmt w:val="lowerLetter"/>
      <w:lvlText w:val="%2."/>
      <w:lvlJc w:val="left"/>
      <w:pPr>
        <w:ind w:left="1724" w:hanging="360"/>
      </w:pPr>
    </w:lvl>
    <w:lvl w:ilvl="2" w:tplc="240C001B" w:tentative="1">
      <w:start w:val="1"/>
      <w:numFmt w:val="lowerRoman"/>
      <w:lvlText w:val="%3."/>
      <w:lvlJc w:val="right"/>
      <w:pPr>
        <w:ind w:left="2444" w:hanging="180"/>
      </w:pPr>
    </w:lvl>
    <w:lvl w:ilvl="3" w:tplc="240C000F" w:tentative="1">
      <w:start w:val="1"/>
      <w:numFmt w:val="decimal"/>
      <w:lvlText w:val="%4."/>
      <w:lvlJc w:val="left"/>
      <w:pPr>
        <w:ind w:left="3164" w:hanging="360"/>
      </w:pPr>
    </w:lvl>
    <w:lvl w:ilvl="4" w:tplc="240C0019" w:tentative="1">
      <w:start w:val="1"/>
      <w:numFmt w:val="lowerLetter"/>
      <w:lvlText w:val="%5."/>
      <w:lvlJc w:val="left"/>
      <w:pPr>
        <w:ind w:left="3884" w:hanging="360"/>
      </w:pPr>
    </w:lvl>
    <w:lvl w:ilvl="5" w:tplc="240C001B" w:tentative="1">
      <w:start w:val="1"/>
      <w:numFmt w:val="lowerRoman"/>
      <w:lvlText w:val="%6."/>
      <w:lvlJc w:val="right"/>
      <w:pPr>
        <w:ind w:left="4604" w:hanging="180"/>
      </w:pPr>
    </w:lvl>
    <w:lvl w:ilvl="6" w:tplc="240C000F" w:tentative="1">
      <w:start w:val="1"/>
      <w:numFmt w:val="decimal"/>
      <w:lvlText w:val="%7."/>
      <w:lvlJc w:val="left"/>
      <w:pPr>
        <w:ind w:left="5324" w:hanging="360"/>
      </w:pPr>
    </w:lvl>
    <w:lvl w:ilvl="7" w:tplc="240C0019" w:tentative="1">
      <w:start w:val="1"/>
      <w:numFmt w:val="lowerLetter"/>
      <w:lvlText w:val="%8."/>
      <w:lvlJc w:val="left"/>
      <w:pPr>
        <w:ind w:left="6044" w:hanging="360"/>
      </w:pPr>
    </w:lvl>
    <w:lvl w:ilvl="8" w:tplc="2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E4521A"/>
    <w:multiLevelType w:val="hybridMultilevel"/>
    <w:tmpl w:val="FE8A8A5E"/>
    <w:lvl w:ilvl="0" w:tplc="D2C08C3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41E1A"/>
    <w:multiLevelType w:val="hybridMultilevel"/>
    <w:tmpl w:val="921A55D4"/>
    <w:lvl w:ilvl="0" w:tplc="451CCA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724" w:hanging="360"/>
      </w:pPr>
    </w:lvl>
    <w:lvl w:ilvl="2" w:tplc="240C001B" w:tentative="1">
      <w:start w:val="1"/>
      <w:numFmt w:val="lowerRoman"/>
      <w:lvlText w:val="%3."/>
      <w:lvlJc w:val="right"/>
      <w:pPr>
        <w:ind w:left="2444" w:hanging="180"/>
      </w:pPr>
    </w:lvl>
    <w:lvl w:ilvl="3" w:tplc="240C000F" w:tentative="1">
      <w:start w:val="1"/>
      <w:numFmt w:val="decimal"/>
      <w:lvlText w:val="%4."/>
      <w:lvlJc w:val="left"/>
      <w:pPr>
        <w:ind w:left="3164" w:hanging="360"/>
      </w:pPr>
    </w:lvl>
    <w:lvl w:ilvl="4" w:tplc="240C0019" w:tentative="1">
      <w:start w:val="1"/>
      <w:numFmt w:val="lowerLetter"/>
      <w:lvlText w:val="%5."/>
      <w:lvlJc w:val="left"/>
      <w:pPr>
        <w:ind w:left="3884" w:hanging="360"/>
      </w:pPr>
    </w:lvl>
    <w:lvl w:ilvl="5" w:tplc="240C001B" w:tentative="1">
      <w:start w:val="1"/>
      <w:numFmt w:val="lowerRoman"/>
      <w:lvlText w:val="%6."/>
      <w:lvlJc w:val="right"/>
      <w:pPr>
        <w:ind w:left="4604" w:hanging="180"/>
      </w:pPr>
    </w:lvl>
    <w:lvl w:ilvl="6" w:tplc="240C000F" w:tentative="1">
      <w:start w:val="1"/>
      <w:numFmt w:val="decimal"/>
      <w:lvlText w:val="%7."/>
      <w:lvlJc w:val="left"/>
      <w:pPr>
        <w:ind w:left="5324" w:hanging="360"/>
      </w:pPr>
    </w:lvl>
    <w:lvl w:ilvl="7" w:tplc="240C0019" w:tentative="1">
      <w:start w:val="1"/>
      <w:numFmt w:val="lowerLetter"/>
      <w:lvlText w:val="%8."/>
      <w:lvlJc w:val="left"/>
      <w:pPr>
        <w:ind w:left="6044" w:hanging="360"/>
      </w:pPr>
    </w:lvl>
    <w:lvl w:ilvl="8" w:tplc="2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21B3997"/>
    <w:multiLevelType w:val="hybridMultilevel"/>
    <w:tmpl w:val="5346F7E2"/>
    <w:lvl w:ilvl="0" w:tplc="D2C08C3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87316"/>
    <w:multiLevelType w:val="hybridMultilevel"/>
    <w:tmpl w:val="C9429BE6"/>
    <w:lvl w:ilvl="0" w:tplc="A3A0DA9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7DF6574"/>
    <w:multiLevelType w:val="hybridMultilevel"/>
    <w:tmpl w:val="AF305CEE"/>
    <w:lvl w:ilvl="0" w:tplc="0407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6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  <w:num w:numId="17">
    <w:abstractNumId w:val="10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D"/>
    <w:rsid w:val="000031DB"/>
    <w:rsid w:val="00013249"/>
    <w:rsid w:val="00043285"/>
    <w:rsid w:val="000614A0"/>
    <w:rsid w:val="000F5BAE"/>
    <w:rsid w:val="0012473A"/>
    <w:rsid w:val="0012643D"/>
    <w:rsid w:val="00163E7B"/>
    <w:rsid w:val="00191D5C"/>
    <w:rsid w:val="001B05D9"/>
    <w:rsid w:val="001B15AB"/>
    <w:rsid w:val="001C2CC5"/>
    <w:rsid w:val="001E0619"/>
    <w:rsid w:val="001E74D9"/>
    <w:rsid w:val="001F4E2B"/>
    <w:rsid w:val="002036DE"/>
    <w:rsid w:val="002118BA"/>
    <w:rsid w:val="00211EAA"/>
    <w:rsid w:val="00220B03"/>
    <w:rsid w:val="002434E5"/>
    <w:rsid w:val="00253030"/>
    <w:rsid w:val="00256C1B"/>
    <w:rsid w:val="00260D22"/>
    <w:rsid w:val="00287FCE"/>
    <w:rsid w:val="00293CF8"/>
    <w:rsid w:val="002A5F9A"/>
    <w:rsid w:val="002B3A29"/>
    <w:rsid w:val="002B3B08"/>
    <w:rsid w:val="002C4EF4"/>
    <w:rsid w:val="002D46E1"/>
    <w:rsid w:val="002E0196"/>
    <w:rsid w:val="00305957"/>
    <w:rsid w:val="00346D17"/>
    <w:rsid w:val="003540C5"/>
    <w:rsid w:val="00375A01"/>
    <w:rsid w:val="00381AA1"/>
    <w:rsid w:val="00383E7E"/>
    <w:rsid w:val="00394D14"/>
    <w:rsid w:val="003A45B5"/>
    <w:rsid w:val="003C5C90"/>
    <w:rsid w:val="003D3CD3"/>
    <w:rsid w:val="003F56E3"/>
    <w:rsid w:val="003F7574"/>
    <w:rsid w:val="00402792"/>
    <w:rsid w:val="004204B5"/>
    <w:rsid w:val="00443F76"/>
    <w:rsid w:val="004A4FE9"/>
    <w:rsid w:val="0051272A"/>
    <w:rsid w:val="005130CF"/>
    <w:rsid w:val="005161E3"/>
    <w:rsid w:val="0053072E"/>
    <w:rsid w:val="005314E5"/>
    <w:rsid w:val="005421CB"/>
    <w:rsid w:val="00555231"/>
    <w:rsid w:val="00576320"/>
    <w:rsid w:val="0059629E"/>
    <w:rsid w:val="005D42D3"/>
    <w:rsid w:val="005D5DAF"/>
    <w:rsid w:val="005F706B"/>
    <w:rsid w:val="006163C7"/>
    <w:rsid w:val="00617BC4"/>
    <w:rsid w:val="00620AF1"/>
    <w:rsid w:val="006270CC"/>
    <w:rsid w:val="00671B24"/>
    <w:rsid w:val="00674243"/>
    <w:rsid w:val="00696439"/>
    <w:rsid w:val="007156DC"/>
    <w:rsid w:val="00730DCB"/>
    <w:rsid w:val="007368D3"/>
    <w:rsid w:val="00751D08"/>
    <w:rsid w:val="00772966"/>
    <w:rsid w:val="007B21CA"/>
    <w:rsid w:val="007B69B9"/>
    <w:rsid w:val="00815F98"/>
    <w:rsid w:val="00821C92"/>
    <w:rsid w:val="00850680"/>
    <w:rsid w:val="00863125"/>
    <w:rsid w:val="008A2393"/>
    <w:rsid w:val="008A7A73"/>
    <w:rsid w:val="008C3AC0"/>
    <w:rsid w:val="008D1F8E"/>
    <w:rsid w:val="008D6710"/>
    <w:rsid w:val="008E7D43"/>
    <w:rsid w:val="00927DC6"/>
    <w:rsid w:val="009316F4"/>
    <w:rsid w:val="00954167"/>
    <w:rsid w:val="009B7384"/>
    <w:rsid w:val="009C36B9"/>
    <w:rsid w:val="009D0F84"/>
    <w:rsid w:val="009F7728"/>
    <w:rsid w:val="00A23391"/>
    <w:rsid w:val="00A40144"/>
    <w:rsid w:val="00A55B84"/>
    <w:rsid w:val="00A63D85"/>
    <w:rsid w:val="00A66B53"/>
    <w:rsid w:val="00A91437"/>
    <w:rsid w:val="00AA5BE8"/>
    <w:rsid w:val="00AB4C3E"/>
    <w:rsid w:val="00AE4B6D"/>
    <w:rsid w:val="00AF115F"/>
    <w:rsid w:val="00AF79B5"/>
    <w:rsid w:val="00B24932"/>
    <w:rsid w:val="00B8779C"/>
    <w:rsid w:val="00B87845"/>
    <w:rsid w:val="00BA413D"/>
    <w:rsid w:val="00BD5737"/>
    <w:rsid w:val="00BF0B51"/>
    <w:rsid w:val="00C071B0"/>
    <w:rsid w:val="00C13D64"/>
    <w:rsid w:val="00C255EA"/>
    <w:rsid w:val="00C33D49"/>
    <w:rsid w:val="00C3502B"/>
    <w:rsid w:val="00C36C77"/>
    <w:rsid w:val="00CC3619"/>
    <w:rsid w:val="00CD3382"/>
    <w:rsid w:val="00CE7333"/>
    <w:rsid w:val="00CF677C"/>
    <w:rsid w:val="00D232A7"/>
    <w:rsid w:val="00D23B83"/>
    <w:rsid w:val="00D62AC0"/>
    <w:rsid w:val="00D62E62"/>
    <w:rsid w:val="00D7067B"/>
    <w:rsid w:val="00D87225"/>
    <w:rsid w:val="00D92FFC"/>
    <w:rsid w:val="00DC3537"/>
    <w:rsid w:val="00DD2586"/>
    <w:rsid w:val="00DD38F9"/>
    <w:rsid w:val="00DE37F5"/>
    <w:rsid w:val="00E074D5"/>
    <w:rsid w:val="00E2172B"/>
    <w:rsid w:val="00E53FD8"/>
    <w:rsid w:val="00E650D2"/>
    <w:rsid w:val="00E80A69"/>
    <w:rsid w:val="00EB0E1A"/>
    <w:rsid w:val="00EE1EFD"/>
    <w:rsid w:val="00EF0850"/>
    <w:rsid w:val="00EF7484"/>
    <w:rsid w:val="00F06672"/>
    <w:rsid w:val="00F253A3"/>
    <w:rsid w:val="00F27A76"/>
    <w:rsid w:val="00F3061D"/>
    <w:rsid w:val="00F3200B"/>
    <w:rsid w:val="00F362F1"/>
    <w:rsid w:val="00F42BF3"/>
    <w:rsid w:val="00F451E4"/>
    <w:rsid w:val="00F62EB0"/>
    <w:rsid w:val="00F875AE"/>
    <w:rsid w:val="00FA388C"/>
    <w:rsid w:val="00FA7251"/>
    <w:rsid w:val="00FB152F"/>
    <w:rsid w:val="00FC06CB"/>
    <w:rsid w:val="00FE4F75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39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2A"/>
    <w:pPr>
      <w:pBdr>
        <w:bottom w:val="single" w:sz="6" w:space="0" w:color="F1F1F5"/>
      </w:pBdr>
      <w:shd w:val="clear" w:color="auto" w:fill="FFFFFF"/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color w:val="26282A"/>
      <w:sz w:val="24"/>
      <w:szCs w:val="24"/>
      <w:lang w:val="fr-FR" w:eastAsia="de-D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02792"/>
    <w:pPr>
      <w:numPr>
        <w:numId w:val="10"/>
      </w:numPr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2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1E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E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83E7E"/>
  </w:style>
  <w:style w:type="paragraph" w:styleId="Pieddepage">
    <w:name w:val="footer"/>
    <w:basedOn w:val="Normal"/>
    <w:link w:val="PieddepageCar"/>
    <w:uiPriority w:val="99"/>
    <w:unhideWhenUsed/>
    <w:rsid w:val="00383E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3E7E"/>
  </w:style>
  <w:style w:type="paragraph" w:styleId="Textedebulles">
    <w:name w:val="Balloon Text"/>
    <w:basedOn w:val="Normal"/>
    <w:link w:val="TextedebullesCar"/>
    <w:uiPriority w:val="99"/>
    <w:semiHidden/>
    <w:unhideWhenUsed/>
    <w:rsid w:val="00C071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1B0"/>
    <w:rPr>
      <w:rFonts w:ascii="Segoe UI" w:eastAsia="Times New Roman" w:hAnsi="Segoe UI" w:cs="Segoe UI"/>
      <w:color w:val="26282A"/>
      <w:sz w:val="18"/>
      <w:szCs w:val="18"/>
      <w:shd w:val="clear" w:color="auto" w:fill="FFFFFF"/>
      <w:lang w:val="fr-FR" w:eastAsia="de-DE"/>
    </w:rPr>
  </w:style>
  <w:style w:type="character" w:customStyle="1" w:styleId="Titre1Car">
    <w:name w:val="Titre 1 Car"/>
    <w:basedOn w:val="Policepardfaut"/>
    <w:link w:val="Titre1"/>
    <w:uiPriority w:val="9"/>
    <w:rsid w:val="00402792"/>
    <w:rPr>
      <w:rFonts w:ascii="Times New Roman" w:eastAsia="Times New Roman" w:hAnsi="Times New Roman" w:cs="Times New Roman"/>
      <w:b/>
      <w:color w:val="26282A"/>
      <w:sz w:val="28"/>
      <w:szCs w:val="28"/>
      <w:shd w:val="clear" w:color="auto" w:fill="FFFFFF"/>
      <w:lang w:val="fr-FR" w:eastAsia="de-DE"/>
    </w:rPr>
  </w:style>
  <w:style w:type="character" w:customStyle="1" w:styleId="Titre2Car">
    <w:name w:val="Titre 2 Car"/>
    <w:basedOn w:val="Policepardfaut"/>
    <w:link w:val="Titre2"/>
    <w:uiPriority w:val="9"/>
    <w:rsid w:val="00402792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val="fr-FR" w:eastAsia="de-DE"/>
    </w:rPr>
  </w:style>
  <w:style w:type="paragraph" w:styleId="Sansinterligne">
    <w:name w:val="No Spacing"/>
    <w:uiPriority w:val="1"/>
    <w:qFormat/>
    <w:rsid w:val="001C2CC5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tlid-translation">
    <w:name w:val="tlid-translation"/>
    <w:basedOn w:val="Policepardfaut"/>
    <w:rsid w:val="003D3CD3"/>
  </w:style>
  <w:style w:type="character" w:styleId="Marquedecommentaire">
    <w:name w:val="annotation reference"/>
    <w:basedOn w:val="Policepardfaut"/>
    <w:uiPriority w:val="99"/>
    <w:semiHidden/>
    <w:unhideWhenUsed/>
    <w:rsid w:val="00FC06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6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6CB"/>
    <w:rPr>
      <w:rFonts w:ascii="Times New Roman" w:eastAsia="Times New Roman" w:hAnsi="Times New Roman" w:cs="Times New Roman"/>
      <w:color w:val="26282A"/>
      <w:sz w:val="20"/>
      <w:szCs w:val="20"/>
      <w:shd w:val="clear" w:color="auto" w:fill="FFFFFF"/>
      <w:lang w:val="fr-FR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6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6CB"/>
    <w:rPr>
      <w:rFonts w:ascii="Times New Roman" w:eastAsia="Times New Roman" w:hAnsi="Times New Roman" w:cs="Times New Roman"/>
      <w:b/>
      <w:bCs/>
      <w:color w:val="26282A"/>
      <w:sz w:val="20"/>
      <w:szCs w:val="20"/>
      <w:shd w:val="clear" w:color="auto" w:fill="FFFFFF"/>
      <w:lang w:val="fr-FR" w:eastAsia="de-DE"/>
    </w:rPr>
  </w:style>
  <w:style w:type="character" w:styleId="Lienhypertexte">
    <w:name w:val="Hyperlink"/>
    <w:basedOn w:val="Policepardfaut"/>
    <w:uiPriority w:val="99"/>
    <w:unhideWhenUsed/>
    <w:rsid w:val="001264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2A"/>
    <w:pPr>
      <w:pBdr>
        <w:bottom w:val="single" w:sz="6" w:space="0" w:color="F1F1F5"/>
      </w:pBdr>
      <w:shd w:val="clear" w:color="auto" w:fill="FFFFFF"/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color w:val="26282A"/>
      <w:sz w:val="24"/>
      <w:szCs w:val="24"/>
      <w:lang w:val="fr-FR" w:eastAsia="de-D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02792"/>
    <w:pPr>
      <w:numPr>
        <w:numId w:val="10"/>
      </w:numPr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2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1E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E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83E7E"/>
  </w:style>
  <w:style w:type="paragraph" w:styleId="Pieddepage">
    <w:name w:val="footer"/>
    <w:basedOn w:val="Normal"/>
    <w:link w:val="PieddepageCar"/>
    <w:uiPriority w:val="99"/>
    <w:unhideWhenUsed/>
    <w:rsid w:val="00383E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3E7E"/>
  </w:style>
  <w:style w:type="paragraph" w:styleId="Textedebulles">
    <w:name w:val="Balloon Text"/>
    <w:basedOn w:val="Normal"/>
    <w:link w:val="TextedebullesCar"/>
    <w:uiPriority w:val="99"/>
    <w:semiHidden/>
    <w:unhideWhenUsed/>
    <w:rsid w:val="00C071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1B0"/>
    <w:rPr>
      <w:rFonts w:ascii="Segoe UI" w:eastAsia="Times New Roman" w:hAnsi="Segoe UI" w:cs="Segoe UI"/>
      <w:color w:val="26282A"/>
      <w:sz w:val="18"/>
      <w:szCs w:val="18"/>
      <w:shd w:val="clear" w:color="auto" w:fill="FFFFFF"/>
      <w:lang w:val="fr-FR" w:eastAsia="de-DE"/>
    </w:rPr>
  </w:style>
  <w:style w:type="character" w:customStyle="1" w:styleId="Titre1Car">
    <w:name w:val="Titre 1 Car"/>
    <w:basedOn w:val="Policepardfaut"/>
    <w:link w:val="Titre1"/>
    <w:uiPriority w:val="9"/>
    <w:rsid w:val="00402792"/>
    <w:rPr>
      <w:rFonts w:ascii="Times New Roman" w:eastAsia="Times New Roman" w:hAnsi="Times New Roman" w:cs="Times New Roman"/>
      <w:b/>
      <w:color w:val="26282A"/>
      <w:sz w:val="28"/>
      <w:szCs w:val="28"/>
      <w:shd w:val="clear" w:color="auto" w:fill="FFFFFF"/>
      <w:lang w:val="fr-FR" w:eastAsia="de-DE"/>
    </w:rPr>
  </w:style>
  <w:style w:type="character" w:customStyle="1" w:styleId="Titre2Car">
    <w:name w:val="Titre 2 Car"/>
    <w:basedOn w:val="Policepardfaut"/>
    <w:link w:val="Titre2"/>
    <w:uiPriority w:val="9"/>
    <w:rsid w:val="00402792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val="fr-FR" w:eastAsia="de-DE"/>
    </w:rPr>
  </w:style>
  <w:style w:type="paragraph" w:styleId="Sansinterligne">
    <w:name w:val="No Spacing"/>
    <w:uiPriority w:val="1"/>
    <w:qFormat/>
    <w:rsid w:val="001C2CC5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tlid-translation">
    <w:name w:val="tlid-translation"/>
    <w:basedOn w:val="Policepardfaut"/>
    <w:rsid w:val="003D3CD3"/>
  </w:style>
  <w:style w:type="character" w:styleId="Marquedecommentaire">
    <w:name w:val="annotation reference"/>
    <w:basedOn w:val="Policepardfaut"/>
    <w:uiPriority w:val="99"/>
    <w:semiHidden/>
    <w:unhideWhenUsed/>
    <w:rsid w:val="00FC06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6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6CB"/>
    <w:rPr>
      <w:rFonts w:ascii="Times New Roman" w:eastAsia="Times New Roman" w:hAnsi="Times New Roman" w:cs="Times New Roman"/>
      <w:color w:val="26282A"/>
      <w:sz w:val="20"/>
      <w:szCs w:val="20"/>
      <w:shd w:val="clear" w:color="auto" w:fill="FFFFFF"/>
      <w:lang w:val="fr-FR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6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6CB"/>
    <w:rPr>
      <w:rFonts w:ascii="Times New Roman" w:eastAsia="Times New Roman" w:hAnsi="Times New Roman" w:cs="Times New Roman"/>
      <w:b/>
      <w:bCs/>
      <w:color w:val="26282A"/>
      <w:sz w:val="20"/>
      <w:szCs w:val="20"/>
      <w:shd w:val="clear" w:color="auto" w:fill="FFFFFF"/>
      <w:lang w:val="fr-FR" w:eastAsia="de-DE"/>
    </w:rPr>
  </w:style>
  <w:style w:type="character" w:styleId="Lienhypertexte">
    <w:name w:val="Hyperlink"/>
    <w:basedOn w:val="Policepardfaut"/>
    <w:uiPriority w:val="99"/>
    <w:unhideWhenUsed/>
    <w:rsid w:val="00126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8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647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803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1410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21371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837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  <w:div w:id="16246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07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432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985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980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7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u.int/en/documents/20180207/au-wildlife-strate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8F32-62AC-4795-928A-34F25AEF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10157</Characters>
  <Application>Microsoft Office Word</Application>
  <DocSecurity>0</DocSecurity>
  <Lines>84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WWF Deutschland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Nzita, Maxime GIZ CM</dc:creator>
  <cp:lastModifiedBy>PNUD</cp:lastModifiedBy>
  <cp:revision>3</cp:revision>
  <cp:lastPrinted>2018-11-26T10:28:00Z</cp:lastPrinted>
  <dcterms:created xsi:type="dcterms:W3CDTF">2019-01-24T13:26:00Z</dcterms:created>
  <dcterms:modified xsi:type="dcterms:W3CDTF">2019-01-26T13:57:00Z</dcterms:modified>
</cp:coreProperties>
</file>